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76" w:lineRule="auto"/>
        <w:jc w:val="center"/>
      </w:pPr>
      <w:r>
        <w:rPr>
          <w:rFonts w:ascii="Times New Roman" w:hAnsi="Times New Roman" w:cs="Times New Roman" w:eastAsia="Times New Roman"/>
          <w:b/>
          <w:i w:val="0"/>
          <w:color w:val="1F3864"/>
          <w:sz w:val="32"/>
        </w:rPr>
        <w:t>PHIẾU KIỂM TRA ĐỀ CƯƠNG TƯ VẤN GIÁM SÁT</w:t>
      </w:r>
    </w:p>
    <w:p>
      <w:pPr>
        <w:keepNext w:val="0"/>
        <w:spacing w:before="0" w:after="160" w:line="276" w:lineRule="auto"/>
        <w:jc w:val="center"/>
      </w:pPr>
      <w:r>
        <w:rPr>
          <w:rFonts w:ascii="Times New Roman" w:hAnsi="Times New Roman" w:cs="Times New Roman" w:eastAsia="Times New Roman"/>
          <w:b w:val="0"/>
          <w:i/>
          <w:color w:val="595959"/>
          <w:sz w:val="24"/>
        </w:rPr>
        <w:t>TT09 De cuong giam sat Trac dac</w:t>
      </w:r>
    </w:p>
    <w:tbl>
      <w:tblPr>
        <w:jc w:val="center"/>
        <w:tblLayout w:type="fixed"/>
        <w:tblLook w:firstColumn="1" w:firstRow="1" w:lastColumn="0" w:lastRow="0" w:noHBand="0" w:noVBand="1" w:val="04A0"/>
        <w:tblLayout w:type="fixed"/>
        <w:tblW w:w="9026" w:type="dxa"/>
      </w:tblPr>
      <w:tblGrid>
        <w:gridCol w:w="2708"/>
        <w:gridCol w:w="6318"/>
      </w:tblGrid>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Đề cương / dự án</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TT09 De cuong giam sat Trac dac</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lập</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Trung tâm 09</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File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TT09 De cuong giam sat Trac dac.docx</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Mẫu áp dụng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Cơ bản (công cụ tự nhận: Cơ bản)</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điểm lập đề cương</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Không xác định trên bìa</w:t>
            </w:r>
          </w:p>
        </w:tc>
      </w:tr>
      <w:tr>
        <w:trPr>
          <w:cantSplit w:val="true"/>
        </w:trPr>
        <w:tc>
          <w:tcPr>
            <w:tcW w:type="dxa" w:w="270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Ngày kiểm tra</w:t>
            </w:r>
          </w:p>
        </w:tc>
        <w:tc>
          <w:tcPr>
            <w:tcW w:type="dxa" w:w="631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23/10/2026</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2151"/>
        <w:gridCol w:w="140"/>
        <w:gridCol w:w="2151"/>
        <w:gridCol w:w="140"/>
        <w:gridCol w:w="2151"/>
        <w:gridCol w:w="140"/>
        <w:gridCol w:w="2153"/>
      </w:tblGrid>
      <w:tr>
        <w:trPr>
          <w:cantSplit w:val="true"/>
        </w:trPr>
        <w:tc>
          <w:tcPr>
            <w:tcW w:type="dxa" w:w="2151"/>
            <w:tcBorders>
              <w:top w:val="single" w:sz="24" w:color="C45911"/>
              <w:left w:val="nil"/>
              <w:bottom w:val="nil"/>
              <w:right w:val="nil"/>
            </w:tcBorders>
            <w:shd w:val="clear" w:color="auto" w:fill="FFF1DE"/>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45911"/>
                <w:sz w:val="44"/>
              </w:rPr>
              <w:t>77</w:t>
            </w:r>
          </w:p>
          <w:p>
            <w:pPr>
              <w:spacing w:after="20" w:before="0" w:line="264" w:lineRule="auto"/>
              <w:jc w:val="center"/>
            </w:pPr>
            <w:r>
              <w:rPr>
                <w:rFonts w:ascii="Times New Roman" w:hAnsi="Times New Roman" w:cs="Times New Roman" w:eastAsia="Times New Roman"/>
                <w:b/>
                <w:i w:val="0"/>
                <w:color w:val="1F3864"/>
                <w:sz w:val="21"/>
              </w:rPr>
              <w:t>Điểm khung</w:t>
            </w:r>
          </w:p>
          <w:p>
            <w:pPr>
              <w:spacing w:after="40" w:before="0" w:line="264" w:lineRule="auto"/>
              <w:jc w:val="center"/>
            </w:pPr>
            <w:r>
              <w:rPr>
                <w:rFonts w:ascii="Times New Roman" w:hAnsi="Times New Roman" w:cs="Times New Roman" w:eastAsia="Times New Roman"/>
                <w:b w:val="0"/>
                <w:i/>
                <w:color w:val="595959"/>
                <w:sz w:val="18"/>
              </w:rPr>
              <w:t>/100 theo mẫu Cơ bản</w:t>
            </w:r>
          </w:p>
        </w:tc>
        <w:tc>
          <w:tcPr>
            <w:tcW w:type="dxa" w:w="140"/>
            <w:tcBorders>
              <w:top w:val="nil"/>
              <w:left w:val="nil"/>
              <w:bottom w:val="nil"/>
              <w:right w:val="nil"/>
            </w:tcBorders>
          </w:tcPr>
          <w:p/>
        </w:tc>
        <w:tc>
          <w:tcPr>
            <w:tcW w:type="dxa" w:w="2151"/>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12</w:t>
            </w:r>
          </w:p>
          <w:p>
            <w:pPr>
              <w:spacing w:after="20" w:before="0" w:line="264" w:lineRule="auto"/>
              <w:jc w:val="center"/>
            </w:pPr>
            <w:r>
              <w:rPr>
                <w:rFonts w:ascii="Times New Roman" w:hAnsi="Times New Roman" w:cs="Times New Roman" w:eastAsia="Times New Roman"/>
                <w:b/>
                <w:i w:val="0"/>
                <w:color w:val="1F3864"/>
                <w:sz w:val="21"/>
              </w:rPr>
              <w:t>Phải xử lý</w:t>
            </w:r>
          </w:p>
          <w:p>
            <w:pPr>
              <w:spacing w:after="40" w:before="0" w:line="264" w:lineRule="auto"/>
              <w:jc w:val="center"/>
            </w:pPr>
            <w:r>
              <w:rPr>
                <w:rFonts w:ascii="Times New Roman" w:hAnsi="Times New Roman" w:cs="Times New Roman" w:eastAsia="Times New Roman"/>
                <w:b w:val="0"/>
                <w:i/>
                <w:color w:val="595959"/>
                <w:sz w:val="18"/>
              </w:rPr>
              <w:t>trước khi trình ký</w:t>
            </w:r>
          </w:p>
        </w:tc>
        <w:tc>
          <w:tcPr>
            <w:tcW w:type="dxa" w:w="140"/>
            <w:tcBorders>
              <w:top w:val="nil"/>
              <w:left w:val="nil"/>
              <w:bottom w:val="nil"/>
              <w:right w:val="nil"/>
            </w:tcBorders>
          </w:tcPr>
          <w:p/>
        </w:tc>
        <w:tc>
          <w:tcPr>
            <w:tcW w:type="dxa" w:w="2151"/>
            <w:tcBorders>
              <w:top w:val="single" w:sz="24" w:color="2E5496"/>
              <w:left w:val="nil"/>
              <w:bottom w:val="nil"/>
              <w:right w:val="nil"/>
            </w:tcBorders>
            <w:shd w:val="clear" w:color="auto" w:fill="D9E1F2"/>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2E5496"/>
                <w:sz w:val="44"/>
              </w:rPr>
              <w:t>5</w:t>
            </w:r>
          </w:p>
          <w:p>
            <w:pPr>
              <w:spacing w:after="20" w:before="0" w:line="264" w:lineRule="auto"/>
              <w:jc w:val="center"/>
            </w:pPr>
            <w:r>
              <w:rPr>
                <w:rFonts w:ascii="Times New Roman" w:hAnsi="Times New Roman" w:cs="Times New Roman" w:eastAsia="Times New Roman"/>
                <w:b/>
                <w:i w:val="0"/>
                <w:color w:val="1F3864"/>
                <w:sz w:val="21"/>
              </w:rPr>
              <w:t>Hạng mục chi tiết</w:t>
            </w:r>
          </w:p>
          <w:p>
            <w:pPr>
              <w:spacing w:after="40" w:before="0" w:line="264" w:lineRule="auto"/>
              <w:jc w:val="center"/>
            </w:pPr>
            <w:r>
              <w:rPr>
                <w:rFonts w:ascii="Times New Roman" w:hAnsi="Times New Roman" w:cs="Times New Roman" w:eastAsia="Times New Roman"/>
                <w:b w:val="0"/>
                <w:i/>
                <w:color w:val="595959"/>
                <w:sz w:val="18"/>
              </w:rPr>
              <w:t>có mục giám sát riêng</w:t>
            </w:r>
          </w:p>
        </w:tc>
        <w:tc>
          <w:tcPr>
            <w:tcW w:type="dxa" w:w="140"/>
            <w:tcBorders>
              <w:top w:val="nil"/>
              <w:left w:val="nil"/>
              <w:bottom w:val="nil"/>
              <w:right w:val="nil"/>
            </w:tcBorders>
          </w:tcPr>
          <w:p/>
        </w:tc>
        <w:tc>
          <w:tcPr>
            <w:tcW w:type="dxa" w:w="2153"/>
            <w:tcBorders>
              <w:top w:val="single" w:sz="24" w:color="C00000"/>
              <w:left w:val="nil"/>
              <w:bottom w:val="nil"/>
              <w:right w:val="nil"/>
            </w:tcBorders>
            <w:shd w:val="clear" w:color="auto" w:fill="FDE4E1"/>
            <w:tcMar>
              <w:top w:w="80" w:type="dxa"/>
              <w:left w:w="100" w:type="dxa"/>
              <w:bottom w:w="80" w:type="dxa"/>
              <w:right w:w="100" w:type="dxa"/>
            </w:tcMar>
          </w:tcPr>
          <w:p>
            <w:pPr>
              <w:spacing w:after="0" w:before="0" w:line="264" w:lineRule="auto"/>
              <w:jc w:val="center"/>
            </w:pPr>
            <w:r>
              <w:rPr>
                <w:rFonts w:ascii="Times New Roman" w:hAnsi="Times New Roman" w:cs="Times New Roman" w:eastAsia="Times New Roman"/>
                <w:b/>
                <w:i w:val="0"/>
                <w:color w:val="C00000"/>
                <w:sz w:val="44"/>
              </w:rPr>
              <w:t>5</w:t>
            </w:r>
          </w:p>
          <w:p>
            <w:pPr>
              <w:spacing w:after="20" w:before="0" w:line="264" w:lineRule="auto"/>
              <w:jc w:val="center"/>
            </w:pPr>
            <w:r>
              <w:rPr>
                <w:rFonts w:ascii="Times New Roman" w:hAnsi="Times New Roman" w:cs="Times New Roman" w:eastAsia="Times New Roman"/>
                <w:b/>
                <w:i w:val="0"/>
                <w:color w:val="1F3864"/>
                <w:sz w:val="21"/>
              </w:rPr>
              <w:t>Căn cứ hết hiệu lực</w:t>
            </w:r>
          </w:p>
          <w:p>
            <w:pPr>
              <w:spacing w:after="40" w:before="0" w:line="264" w:lineRule="auto"/>
              <w:jc w:val="center"/>
            </w:pPr>
            <w:r>
              <w:rPr>
                <w:rFonts w:ascii="Times New Roman" w:hAnsi="Times New Roman" w:cs="Times New Roman" w:eastAsia="Times New Roman"/>
                <w:b w:val="0"/>
                <w:i/>
                <w:color w:val="595959"/>
                <w:sz w:val="18"/>
              </w:rPr>
              <w:t>loại văn bản</w:t>
            </w:r>
          </w:p>
        </w:tc>
      </w:tr>
    </w:tbl>
    <w:p>
      <w:pPr>
        <w:keepNext w:val="0"/>
        <w:spacing w:before="0" w:after="120" w:line="276" w:lineRule="auto"/>
        <w:jc w:val="both"/>
      </w:pPr>
    </w:p>
    <w:tbl>
      <w:tblPr>
        <w:jc w:val="center"/>
        <w:tblLayout w:type="fixed"/>
        <w:tblLook w:firstColumn="1" w:firstRow="1" w:lastColumn="0" w:lastRow="0" w:noHBand="0" w:noVBand="1" w:val="04A0"/>
        <w:tblLayout w:type="fixed"/>
        <w:tblW w:w="9026" w:type="dxa"/>
      </w:tblPr>
      <w:tblGrid>
        <w:gridCol w:w="9026"/>
      </w:tblGrid>
      <w:tr>
        <w:trPr>
          <w:cantSplit w:val="true"/>
        </w:trPr>
        <w:tc>
          <w:tcPr>
            <w:tcW w:type="dxa" w:w="9026"/>
            <w:tcBorders>
              <w:top w:val="nil"/>
              <w:left w:val="single" w:sz="36" w:color="C45911"/>
              <w:bottom w:val="nil"/>
              <w:right w:val="nil"/>
            </w:tcBorders>
            <w:shd w:val="clear" w:color="auto" w:fill="FFF1DE"/>
            <w:tcMar>
              <w:top w:w="120" w:type="dxa"/>
              <w:left w:w="160" w:type="dxa"/>
              <w:bottom w:w="120" w:type="dxa"/>
              <w:right w:w="140" w:type="dxa"/>
            </w:tcMar>
          </w:tcPr>
          <w:p>
            <w:pPr>
              <w:spacing w:after="60" w:before="0" w:line="264" w:lineRule="auto"/>
              <w:jc w:val="left"/>
            </w:pPr>
            <w:r>
              <w:rPr>
                <w:rFonts w:ascii="Times New Roman" w:hAnsi="Times New Roman" w:cs="Times New Roman" w:eastAsia="Times New Roman"/>
                <w:b/>
                <w:i w:val="0"/>
                <w:color w:val="C45911"/>
                <w:sz w:val="23"/>
              </w:rPr>
              <w:t>KẾT LUẬN</w:t>
            </w:r>
          </w:p>
          <w:p>
            <w:pPr>
              <w:spacing w:after="40" w:before="0" w:line="288" w:lineRule="auto"/>
              <w:jc w:val="both"/>
            </w:pPr>
            <w:r>
              <w:rPr>
                <w:rFonts w:ascii="Times New Roman" w:hAnsi="Times New Roman" w:cs="Times New Roman" w:eastAsia="Times New Roman"/>
                <w:b w:val="0"/>
                <w:i w:val="0"/>
                <w:sz w:val="23"/>
              </w:rPr>
              <w:t>Kết luận: Cần chỉnh sửa, bổ sung trước khi trình ký.</w:t>
            </w:r>
          </w:p>
          <w:p>
            <w:pPr>
              <w:spacing w:after="40" w:before="0" w:line="288" w:lineRule="auto"/>
              <w:jc w:val="both"/>
            </w:pPr>
            <w:r>
              <w:rPr>
                <w:rFonts w:ascii="Times New Roman" w:hAnsi="Times New Roman" w:cs="Times New Roman" w:eastAsia="Times New Roman"/>
                <w:b w:val="0"/>
                <w:i w:val="0"/>
                <w:sz w:val="23"/>
              </w:rPr>
              <w:t>Các việc cần xử lý chính: CL07 – Kiểm tra bản vẽ shopdrawing (triển khai, chế tạo, lắp đặt); CL14 – Phát hiện sai sót, bất hợp lý của thiết kế; CL21 – Giám sát chạy thử, vận hành thử thiết bị; KL02 – Khối lượng phát sinh so với thiết kế; KL03 – Khối lượng sửa đổi, khối lượng thi công khác.</w:t>
            </w:r>
          </w:p>
          <w:p>
            <w:pPr>
              <w:spacing w:after="40" w:before="0" w:line="288" w:lineRule="auto"/>
              <w:jc w:val="both"/>
            </w:pPr>
            <w:r>
              <w:rPr>
                <w:rFonts w:ascii="Times New Roman" w:hAnsi="Times New Roman" w:cs="Times New Roman" w:eastAsia="Times New Roman"/>
                <w:b w:val="0"/>
                <w:i w:val="0"/>
                <w:sz w:val="23"/>
              </w:rPr>
              <w:t>Lưu ý bắt buộc: trước khi trình ký, rà soát văn bản pháp luật, tiêu chuẩn viện dẫn bằng công cụ TEXO Legal Reviewer để bảo đảm dùng phiên bản mới nhất.</w:t>
            </w:r>
          </w:p>
        </w:tc>
      </w:tr>
    </w:tbl>
    <w:p>
      <w:pPr>
        <w:keepNext w:val="0"/>
        <w:spacing w:before="0" w:after="160" w:line="276" w:lineRule="auto"/>
        <w:jc w:val="both"/>
      </w:pP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1. Việc cần xử lý trước khi trình ký</w:t>
      </w:r>
    </w:p>
    <w:tbl>
      <w:tblPr>
        <w:jc w:val="center"/>
        <w:tblLayout w:type="fixed"/>
        <w:tblLook w:firstColumn="1" w:firstRow="1" w:lastColumn="0" w:lastRow="0" w:noHBand="0" w:noVBand="1" w:val="04A0"/>
        <w:tblLayout w:type="fixed"/>
        <w:tblW w:w="9026" w:type="dxa"/>
      </w:tblPr>
      <w:tblGrid>
        <w:gridCol w:w="450"/>
        <w:gridCol w:w="2900"/>
        <w:gridCol w:w="2200"/>
        <w:gridCol w:w="2226"/>
        <w:gridCol w:w="1250"/>
      </w:tblGrid>
      <w:tr>
        <w:trPr>
          <w:cantSplit w:val="true"/>
          <w:tblHeader w:val="true"/>
        </w:trPr>
        <w:tc>
          <w:tcPr>
            <w:tcW w:type="dxa" w:w="4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w:t>
            </w:r>
          </w:p>
        </w:tc>
        <w:tc>
          <w:tcPr>
            <w:tcW w:type="dxa" w:w="2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Hiện trạng</w:t>
            </w:r>
          </w:p>
        </w:tc>
        <w:tc>
          <w:tcPr>
            <w:tcW w:type="dxa" w:w="22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Yêu cầu sửa</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CL07 – Kiểm tra bản vẽ shopdrawing (triển khai, chế tạo, lắp đặt)</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CL14 – Phát hiện sai sót, bất hợp lý của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CL21 – Giám sát chạy thử, vận hành thử thiết bị</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KL02 – Khối lượng phát sinh so với thiết kế</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KL03 – Khối lượng sửa đổi, khối lượng thi công khác</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TD01 – Giám sát tiến độ thi công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AT02 – Giám sát vệ sinh môi trường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Thiếu</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riêng theo khung chuẩn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Luật Xây dựng 50/2014/QH13</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Luật sửa đổi Luật Xây dựng 62/2020/QH14</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2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06/2021/NĐ-CP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19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Căn cứ hết hiệu lực: Thông tư 10/2021/TT-BXD</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Viện dẫn 8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12</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Căn cứ hết hiệu lực: Nghị định 175/2024/NĐ-CP</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Viện dẫn 8 lần</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13</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TC02 – Quy mô, loại – cấp công trình, giải pháp thiết kế chính</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2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14</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CL04 – Kiểm tra phòng thí nghiệm, cơ sở sản xuất vật liệu</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2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15</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CL15 – Đề nghị kiểm định lại khi nghi ngờ chất lượng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3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16</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KL01 – Nguyên tắc giám sát, xác nhận khối lượng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17</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TD02 – Biện pháp khắc phục chậm tiến độ, đẩy nhanh tiến độ</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18</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AT01 – Giám sát an toàn lao động</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8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19</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AT03 – Giám sát phòng cháy chữa cháy, phòng chống cháy nổ</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Nhắc 1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20</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CT03 – Biểu mẫu hồ sơ (hoặc dẫn chiếu biểu mẫu dự án)</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Nhắc 14 lần trong thân bài, chưa có tiêu đề riêng</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Tách thành tiêu đề riêng, viết đầy đủ nội dung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r>
        <w:trPr>
          <w:cantSplit w:val="true"/>
        </w:trPr>
        <w:tc>
          <w:tcPr>
            <w:tcW w:type="dxa" w:w="4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19"/>
              </w:rPr>
              <w:t>21</w:t>
            </w:r>
          </w:p>
        </w:tc>
        <w:tc>
          <w:tcPr>
            <w:tcW w:type="dxa" w:w="2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Hạng mục: Giám sát gia công, lắp đặt cửa gỗ</w:t>
            </w:r>
          </w:p>
        </w:tc>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Có nhắc, chưa thành mục chi tiết</w:t>
            </w:r>
          </w:p>
        </w:tc>
        <w:tc>
          <w:tcPr>
            <w:tcW w:type="dxa" w:w="22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Bổ sung mục giám sát chi tiết (bảng nội dung – phương pháp – tiêu chuẩn – hồ sơ)</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45911"/>
                <w:sz w:val="18"/>
              </w:rPr>
              <w:t>Nên xử lý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2. Đối chiếu khung chuẩn đề cương TVGS</w:t>
      </w:r>
    </w:p>
    <w:tbl>
      <w:tblPr>
        <w:jc w:val="center"/>
        <w:tblLayout w:type="fixed"/>
        <w:tblLook w:firstColumn="1" w:firstRow="1" w:lastColumn="0" w:lastRow="0" w:noHBand="0" w:noVBand="1" w:val="04A0"/>
        <w:tblLayout w:type="fixed"/>
        <w:tblW w:w="9026" w:type="dxa"/>
      </w:tblPr>
      <w:tblGrid>
        <w:gridCol w:w="650"/>
        <w:gridCol w:w="3200"/>
        <w:gridCol w:w="900"/>
        <w:gridCol w:w="3026"/>
        <w:gridCol w:w="1250"/>
      </w:tblGrid>
      <w:tr>
        <w:trPr>
          <w:cantSplit w:val="true"/>
          <w:tblHeader w:val="true"/>
        </w:trPr>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Mã</w:t>
            </w:r>
          </w:p>
        </w:tc>
        <w:tc>
          <w:tcPr>
            <w:tcW w:type="dxa" w:w="3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Tiêu chí</w:t>
            </w:r>
          </w:p>
        </w:tc>
        <w:tc>
          <w:tcPr>
            <w:tcW w:type="dxa" w:w="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Cấp</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Kết quả / bằng chứng</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Hình thức, bố cục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Bìa đủ thông tin: Dự án, Công trình/Gói thầu, Địa điểm, Chủ đầu tư, Đơn vị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Có: Dự án, Công trình/Gói thầu, Địa điểm, Chủ đầu tư, Đơn vị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Tờ lót có ô ký Chủ đầu tư phê duyệt và Đại diện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Có ô ký CĐT phê duyệt /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Mục lục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MỤC LỤC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Bảng từ ngữ viết tắt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Khổ giấy A4</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Khổ 21.0 × 29.7 cm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HT06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Tài liệu phát hành chỉ mang tên Công ty TEXO – không nêu đơn vị nội bộ (Trung tâm, VPĐT…)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Không nêu đơn vị nội bộ</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Thông tin dự án, phạm vi công việc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Thông tin dự án, công trình, gói thầu, địa điểm, chủ đầu tư</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THÔNG TIN CHUNG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mô, loại – cấp công trình, giải pháp thiết kế chính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Phạm vi công việc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MỤC ĐÍCH VÀ YÊU CẦU CỦA GÓI THẦU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Sản phẩm của gói thầu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TC05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Các bên tham gia dự án / hồ sơ dữ liệu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Cơ sở thực hiện, vai trò các bên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Cơ sở thực hiện: văn bản pháp luật hiện hành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NHẤT: CƠ SỞ THỰC HIỆN,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Hợp đồng TVGS, hồ sơ thiết kế, hợp đồng thi công – căn cứ của gói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Các quy định khác theo thỏa thuận thêm giữa 2 bên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Danh mục quy chuẩn, tiêu chuẩn áp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Các tiêu chuẩn áp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Vai trò, quyền và nghĩa vụ của Chủ đầu tư và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PHẦN THỨ NHẤT: CƠ SỞ THỰC HIỆN, VAI TRÒ, TRÁCH NHIỆM CỦA CÁC BÊN LIÊN QUAN TRONG DỰ ÁN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CS05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Quyền, nghĩa vụ / quan hệ với TVTK và nhà thầu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b) Lập, theo dõi và điều phối kế hoạch tổng tiến độ dự án bao gồm việc phối hợp giữa các nhà thầu, tư vấn thiết kế, tư v</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chất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điều kiện khởi công, công tác chuẩn bị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 GIAI ĐOẠN CHUẨN BỊ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sự phù hợp năng lực nhà thầu (nhân lực,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 Kiểm tra sự phù hợp năng lực của nhà thầu thi công xây dựng công trình với hồ sơ dự thầu và hợp đồng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hệ thống quản lý chất lượng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1.2. Kiểm tra hệ thống quản lý chất lượng của NT thi công xây dựng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phòng thí nghiệm, cơ sở sản xuất vật liệu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nghiệm thu vật liệu, sản phẩm, thiết bị đầu vào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Kiểm tra và giám sát chất lượng vật tư, vật liệu và thiết bị lắp đặt vào công trình do nhà thầu thi công xây dựng côn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Kiểm tra biện pháp thi công của nhà thầu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 Kiểm tra biện pháp thi công, đề cương quan trắc.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bản vẽ shopdrawing (triển khai, chế tạo, lắp đặt)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thường xuyên, nhật ký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2.4. Các kết quả kiểm tra và số lượng vật tư vật liệu đưa vào công trình từng thời điểm trong ngày được ghi trong nhật k</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Kiểm tra, xác nhận bản vẽ hoàn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3.3. Xác nhận bản vẽ hoàn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công việc xây dựng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1. Nghiệm thu công việc thi công trắc đạc.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Nghiệm thu bộ phận, giai đoạn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2. Nghiệm thu bộ phận công trình, giai đoạn thi công xây dựng.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Nghiệm thu hoàn thành hạng mục, công trình đưa vào sử dụng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Nghiệm thu hoàn thành hạng mục công trình xây dựng, công trình xây dựng đưa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Hồ sơ nghiệm thu, tài liệu hoàn thành công trình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3.5.1. Tài liệu phục vụ nghiệm thu bộ phận công trình như nêu trong căn cứ nghiệm thu bộ phận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Phát hiện sai sót, bất hợp lý của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Đề nghị kiểm định lại khi nghi ngờ chất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Phối hợp giải quyết vướng mắc, phát sinh</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 xml:space="preserve">Đạt – Mục: e) Giải quyết các vấn đề vượt thẩm quyền hoặc khó khăn mà TVGS TEXO gặp phải trong quá trình giám sát. Tổ chức các cuộc </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Sơ đồ/lưu đồ quy trình quản lý chất lượng, quy trình nghiệm thu</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xử lý không phù hợp (NCR)</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CL19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Quản lý thay đổi thiết kế, RFI, xung đột bộ môn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3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CL20</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 hoạch nghiệm thu / kế hoạch kiểm tra (ITP)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CL21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chạy thử, vận hành thử thiết bị</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khối lượng</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Nguyên tắc giám sát, xác nhận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Khối lượng phát sinh so với thiết kế</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Khối lượng sửa đổi, khối lượng thi công khác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KL04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Quy trình, thời hạn xác nhận khối lượng; lưu ý khi tính khối lượng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tiến độ</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tiến độ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khắc phục chậm tiến độ, đẩy nhanh tiến độ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TD03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Cập nhật tiến độ định kỳ, cảnh báo sớm nguy cơ chậm</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Giám sát ATLĐ, VSMT, PCCC</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an toàn lao động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8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Giám sát vệ sinh môi trường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00000"/>
                <w:sz w:val="17"/>
              </w:rPr>
              <w:t>Phải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Giám sát phòng cháy chữa cháy, phòng chống cháy nổ</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chưa thành mục – Nhắc 1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quản lý an toàn: nhận diện mối nguy, đánh giá rủi ro, biện pháp kiểm soát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AT05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Ứng phó tình huống khẩn cấp, quy trình đình chỉ thi công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d) Đình chỉ thực hiện hoặc chấm dứt hợp đồng với TEXO theo quy định trong hợp đồng kinh tế và theo pháp luật.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Báo cáo, họp, trao đổi thông tin</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Chế độ báo cáo (tuần, tháng, giai đoạn, hoàn thành, sự cố)</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Thời hạn nộp báo cáo</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NĂM: CHẾ ĐỘ BÁO CÁO VÀ TIẾN ĐỘ NỘP BÁO CÁO.</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Tổ chức các cuộc họp, giao ban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II. CHẾ ĐỘ BÁO CÁO VÀ TỔ CHỨC CÁC CUỘC HỌP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BC04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Trao đổi thông tin, quản lý hồ sơ – tài liệu, thời hạn xử lý hồ sơ</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 QUY TRÌNH QUẢN LÝ HỒ SƠ, TÀI LIỆU: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Tổ chức thực hiện đoàn TVGS</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Tổ chức thực hiện – nguyên tắc chung</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III. TỔ CHỨC THỰC HIỆN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Mô hình, sơ đồ tổ chức đoàn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2. Mô hình đoàn TVGS</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Nhiệm vụ của TVGS trưởng và các kỹ sư giám sát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GIÁM SÁT TRƯỞNG       PHÓ TỔNG GIÁM ĐỐC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Quan hệ của đoàn TVGS với Công ty, nội bộ và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Quan hệ của đoàn tư vấn giám sát với các đơn vị, công ty.</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TO05</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Phân công / phân cấp trách nhiệm ký hồ sơ sản phẩm TVGS</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6. Phân công trách nhiệm.</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TO06</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Ma trận trách nhiệm phối hợp các bên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TO07</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 hoạch điều động, đánh giá, đào tạo nhân sự đoàn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2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TO08</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Hệ thống đảm bảo chất lượng công tác giám sát (ISO 9001, kiểm soát nội bộ)</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Mục: 3. CÁC YÊU CẦU TIÊU CHUẨN ISO 9001:2015 VÀ NGOẠI LỆ</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TO09</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Biện pháp phòng ngừa sai sót</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BẢY: BIỆN PHÁP PHÒNG NGỪA SAI SÓT ĐỂ ĐẢM BẢO QUÁ TRÌNH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9026"/>
            <w:gridSpan w:val="5"/>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shd w:val="clear" w:color="auto" w:fill="D9E1F2"/>
          </w:tcPr>
          <w:p>
            <w:pPr>
              <w:spacing w:after="30" w:before="0" w:line="264" w:lineRule="auto"/>
              <w:jc w:val="left"/>
            </w:pPr>
            <w:r>
              <w:rPr>
                <w:rFonts w:ascii="Times New Roman" w:hAnsi="Times New Roman" w:cs="Times New Roman" w:eastAsia="Times New Roman"/>
                <w:b/>
                <w:i w:val="0"/>
                <w:sz w:val="18"/>
              </w:rPr>
              <w:t>Đề cương giám sát chi tiết, biểu mẫu</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CT01</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phần đề cương giám sát chi tiết theo từng công tác/hạng mục</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Đạt – Mục: PHẦN THỨ BA: ĐỀ CƯƠNG GIÁM SÁT CHI TIẾT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CT02</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Tiêu chuẩn được viện dẫn cho từng công tác (≥ 10 lượt TCVN/QCVN)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Đạt – 24 lượt viện dẫn TCVN/QCVN</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CT03</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Biểu mẫu hồ sơ (hoặc dẫn chiếu biểu mẫu dự án)</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Bắt buộc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chưa thành mục – Nhắc 14 lần trong thân bài, chưa có tiêu đề riêng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CT04</w:t>
            </w:r>
          </w:p>
        </w:tc>
        <w:tc>
          <w:tcPr>
            <w:tcW w:type="dxa" w:w="3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Phiếu/bảng kiểm tra chi tiết (công việc kiểm tra – căn cứ – đánh giá) và sai số cho phép</w:t>
            </w:r>
          </w:p>
        </w:tc>
        <w:tc>
          <w:tcPr>
            <w:tcW w:type="dxa" w:w="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Nâng cao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Thiếu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3. Hạng mục công tác – đề cương chi tiết</w:t>
      </w:r>
    </w:p>
    <w:tbl>
      <w:tblPr>
        <w:jc w:val="center"/>
        <w:tblLayout w:type="fixed"/>
        <w:tblLook w:firstColumn="1" w:firstRow="1" w:lastColumn="0" w:lastRow="0" w:noHBand="0" w:noVBand="1" w:val="04A0"/>
        <w:tblLayout w:type="fixed"/>
        <w:tblW w:w="9026" w:type="dxa"/>
      </w:tblPr>
      <w:tblGrid>
        <w:gridCol w:w="2800"/>
        <w:gridCol w:w="1250"/>
        <w:gridCol w:w="2700"/>
        <w:gridCol w:w="1026"/>
        <w:gridCol w:w="1250"/>
      </w:tblGrid>
      <w:tr>
        <w:trPr>
          <w:cantSplit w:val="true"/>
          <w:tblHeader w:val="true"/>
        </w:trPr>
        <w:tc>
          <w:tcPr>
            <w:tcW w:type="dxa" w:w="28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Hạng mục</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Nhóm</w:t>
            </w:r>
          </w:p>
        </w:tc>
        <w:tc>
          <w:tcPr>
            <w:tcW w:type="dxa" w:w="2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Hiện trạng / mục tìm thấy</w:t>
            </w:r>
          </w:p>
        </w:tc>
        <w:tc>
          <w:tcPr>
            <w:tcW w:type="dxa" w:w="1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Cần có</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8"/>
              </w:rPr>
              <w:t>Mức độ</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Kiểm tra sự phù hợp năng lực của nhà thầu thi công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1. Kiểm tra sự phù hợp năng lực của nhà thầu thi công xây dựng công trình với hồ sơ dự thầu và hợp đồng xây dự</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vật liệu, thiết bị, sản phẩm chế tạo sẵn lắp đặt vào công trình</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2. Kiểm tra và giám sát chất lượng vật tư, vật liệu và thiết bị lắp đặt vào công trình do nhà thầu thi công xâ</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công tác trắc địa</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3. Tư vấn giám sát trắc đạc TEXO</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cọc khoan nhồi, hạ Kingpost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Nền móng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kết cấu bê tông cốt thép toàn khối (cốp pha, cốt thép, bê tông)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dựng kết cấu thép</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Kết cấu</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gia công, lắp đặt cửa gỗ</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Hoàn thiện</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FF1DE"/>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C45911"/>
                <w:sz w:val="17"/>
              </w:rPr>
              <w:t>Nên xử lý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thi công trắc đạc, quan trắc (gói chuyên đề)</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mục giám sát chi tiết: 3. Tư vấn giám sát trắc đạc TEXO</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chạy thử, nghiệm thu và bàn giao đưa công trình vào sử dụng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an toàn lao động, PCCC, vệ sinh môi trường tại hiện trường</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Chung</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Có nhắc, chưa thành mục chi tiết</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5496"/>
                <w:sz w:val="17"/>
              </w:rPr>
              <w:t>Lưu ý</w:t>
            </w:r>
          </w:p>
        </w:tc>
      </w:tr>
      <w:tr>
        <w:trPr>
          <w:cantSplit w:val="true"/>
        </w:trPr>
        <w:tc>
          <w:tcPr>
            <w:tcW w:type="dxa" w:w="28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8"/>
              </w:rPr>
              <w:t>Giám sát quan trắc lún, nghiêng, chuyển vị và kiểm định kết cấu</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Chuyên đề</w:t>
            </w:r>
          </w:p>
        </w:tc>
        <w:tc>
          <w:tcPr>
            <w:tcW w:type="dxa" w:w="27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Có mục giám sát chi tiết: 1. Kiểm tra biện pháp thi công, đề cương quan trắc.</w:t>
            </w:r>
          </w:p>
        </w:tc>
        <w:tc>
          <w:tcPr>
            <w:tcW w:type="dxa" w:w="1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8"/>
              </w:rPr>
              <w:t>—</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4F3E6"/>
          </w:tcPr>
          <w:p>
            <w:pPr>
              <w:spacing w:after="30" w:before="0" w:line="264" w:lineRule="auto"/>
              <w:jc w:val="center"/>
            </w:pPr>
            <w:r>
              <w:rPr>
                <w:rFonts w:ascii="Segoe UI Emoji" w:hAnsi="Segoe UI Emoji" w:cs="Segoe UI Emoji" w:eastAsia="Segoe UI Emoji"/>
                <w:b w:val="0"/>
                <w:i w:val="0"/>
                <w:sz w:val="17"/>
              </w:rPr>
              <w:t xml:space="preserve">🟢 </w:t>
            </w:r>
            <w:r>
              <w:rPr>
                <w:rFonts w:ascii="Times New Roman" w:hAnsi="Times New Roman" w:cs="Times New Roman" w:eastAsia="Times New Roman"/>
                <w:b/>
                <w:i w:val="0"/>
                <w:color w:val="2E7D32"/>
                <w:sz w:val="17"/>
              </w:rPr>
              <w:t>Đạt</w:t>
            </w:r>
          </w:p>
        </w:tc>
      </w:tr>
    </w:tbl>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4. Căn cứ pháp lý</w:t>
      </w:r>
    </w:p>
    <w:p>
      <w:pPr>
        <w:keepNext w:val="0"/>
        <w:spacing w:before="0" w:after="120" w:line="276" w:lineRule="auto"/>
        <w:jc w:val="both"/>
      </w:pPr>
      <w:r>
        <w:rPr>
          <w:rFonts w:ascii="Times New Roman" w:hAnsi="Times New Roman" w:cs="Times New Roman" w:eastAsia="Times New Roman"/>
          <w:b w:val="0"/>
          <w:i w:val="0"/>
          <w:sz w:val="22"/>
        </w:rPr>
        <w:t>Văn bản mới đã viện dẫn: Luật XD 135/2025 ✗, NĐ 207/2026 ✗, TT 32/2026 ✗, NĐ 217/2026 / 212/2026 ✗</w:t>
      </w:r>
    </w:p>
    <w:tbl>
      <w:tblPr>
        <w:jc w:val="center"/>
        <w:tblLayout w:type="fixed"/>
        <w:tblLook w:firstColumn="1" w:firstRow="1" w:lastColumn="0" w:lastRow="0" w:noHBand="0" w:noVBand="1" w:val="04A0"/>
        <w:tblLayout w:type="fixed"/>
        <w:tblW w:w="9026" w:type="dxa"/>
      </w:tblPr>
      <w:tblGrid>
        <w:gridCol w:w="2600"/>
        <w:gridCol w:w="650"/>
        <w:gridCol w:w="4526"/>
        <w:gridCol w:w="1250"/>
      </w:tblGrid>
      <w:tr>
        <w:trPr>
          <w:cantSplit w:val="true"/>
          <w:tblHeader w:val="true"/>
        </w:trPr>
        <w:tc>
          <w:tcPr>
            <w:tcW w:type="dxa" w:w="2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Văn bản</w:t>
            </w:r>
          </w:p>
        </w:tc>
        <w:tc>
          <w:tcPr>
            <w:tcW w:type="dxa" w:w="6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Số lần</w:t>
            </w:r>
          </w:p>
        </w:tc>
        <w:tc>
          <w:tcPr>
            <w:tcW w:type="dxa" w:w="45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Đề xuất</w:t>
            </w:r>
          </w:p>
        </w:tc>
        <w:tc>
          <w:tcPr>
            <w:tcW w:type="dxa" w:w="125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Mức độ</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Xây dựng 50/2014/QH13</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Luật Xây dựng số 135/2025/QH15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Luật sửa đổi Luật Xây dựng 62/2020/QH14</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2</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Luật Xây dựng số 135/2025/QH15</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06/2021/NĐ-CP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19</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207/2026/NĐ-CP (hiệu lực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Thông tư 10/2021/TT-BXD</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8</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Thay bằng Thông tư số 32/2026/TT-BXD</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175/2024/NĐ-CP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8</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Thay bằng Nghị định số 217/2026/NĐ-CP (quản lý hoạt động xây dựng) và Nghị định số 212/2026/NĐ-CP (điều kiện năng lực)</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DE4E1"/>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C00000"/>
                <w:sz w:val="18"/>
              </w:rPr>
              <w:t>Phải xử lý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Nghị định 35/2023/NĐ-CP</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F7F9FC"/>
          </w:tcPr>
          <w:p>
            <w:pPr>
              <w:spacing w:after="30" w:before="0" w:line="264" w:lineRule="auto"/>
              <w:jc w:val="center"/>
            </w:pPr>
            <w:r>
              <w:rPr>
                <w:rFonts w:ascii="Times New Roman" w:hAnsi="Times New Roman" w:cs="Times New Roman" w:eastAsia="Times New Roman"/>
                <w:b w:val="0"/>
                <w:i w:val="0"/>
                <w:sz w:val="19"/>
              </w:rPr>
              <w:t>11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Sửa đổi các nghị định cũ của Bộ Xây dựng – phần lớn nghị định gốc đã được thay thế từ 01/7/2026</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r>
        <w:trPr>
          <w:cantSplit w:val="true"/>
        </w:trPr>
        <w:tc>
          <w:tcPr>
            <w:tcW w:type="dxa" w:w="2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TCVN 4453:1995</w:t>
            </w:r>
          </w:p>
        </w:tc>
        <w:tc>
          <w:tcPr>
            <w:tcW w:type="dxa" w:w="65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val="0"/>
                <w:i w:val="0"/>
                <w:sz w:val="19"/>
              </w:rPr>
              <w:t>1</w:t>
            </w:r>
          </w:p>
        </w:tc>
        <w:tc>
          <w:tcPr>
            <w:tcW w:type="dxa" w:w="45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Tiêu chuẩn ban hành đã lâu – đối chiếu danh mục tiêu chuẩn dự án và tiêu chuẩn thay thế (nếu có)</w:t>
            </w:r>
          </w:p>
        </w:tc>
        <w:tc>
          <w:tcPr>
            <w:tcW w:type="dxa" w:w="125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D9E1F2"/>
          </w:tcPr>
          <w:p>
            <w:pPr>
              <w:spacing w:after="30" w:before="0" w:line="264" w:lineRule="auto"/>
              <w:jc w:val="center"/>
            </w:pPr>
            <w:r>
              <w:rPr>
                <w:rFonts w:ascii="Segoe UI Emoji" w:hAnsi="Segoe UI Emoji" w:cs="Segoe UI Emoji" w:eastAsia="Segoe UI Emoji"/>
                <w:b w:val="0"/>
                <w:i w:val="0"/>
                <w:sz w:val="18"/>
              </w:rPr>
              <w:t xml:space="preserve">🔵 </w:t>
            </w:r>
            <w:r>
              <w:rPr>
                <w:rFonts w:ascii="Times New Roman" w:hAnsi="Times New Roman" w:cs="Times New Roman" w:eastAsia="Times New Roman"/>
                <w:b/>
                <w:i w:val="0"/>
                <w:color w:val="2E5496"/>
                <w:sz w:val="18"/>
              </w:rPr>
              <w:t>Lưu ý</w:t>
            </w:r>
          </w:p>
        </w:tc>
      </w:tr>
    </w:tbl>
    <w:p>
      <w:pPr>
        <w:keepNext w:val="0"/>
        <w:spacing w:before="0" w:after="120" w:line="276" w:lineRule="auto"/>
        <w:jc w:val="both"/>
      </w:pPr>
      <w:r>
        <w:rPr>
          <w:rFonts w:ascii="Times New Roman" w:hAnsi="Times New Roman" w:cs="Times New Roman" w:eastAsia="Times New Roman"/>
          <w:b/>
          <w:i w:val="0"/>
          <w:color w:val="C00000"/>
          <w:sz w:val="20"/>
        </w:rPr>
        <w:t>Công cụ này chỉ dò theo danh mục văn bản theo dõi (cập nhật 2026-10-23). Bắt buộc rà soát toàn bộ văn bản pháp luật, tiêu chuẩn viện dẫn bằng công cụ TEXO Legal Reviewer trước khi trình ký để bảo đảm dùng phiên bản mới nhất.</w:t>
      </w:r>
    </w:p>
    <w:p>
      <w:pPr>
        <w:keepNext/>
        <w:spacing w:before="280" w:after="140" w:line="276" w:lineRule="auto"/>
        <w:jc w:val="left"/>
        <w:pBdr>
          <w:bottom w:val="single" w:sz="8" w:space="2" w:color="2E5496"/>
        </w:pBdr>
      </w:pPr>
      <w:r>
        <w:rPr>
          <w:rFonts w:ascii="Times New Roman" w:hAnsi="Times New Roman" w:cs="Times New Roman" w:eastAsia="Times New Roman"/>
          <w:b/>
          <w:i w:val="0"/>
          <w:color w:val="1F3864"/>
          <w:sz w:val="28"/>
        </w:rPr>
        <w:t>5. Trình bày, thông tin dự án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Nội dung</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19"/>
              </w:rPr>
              <w:t>Kết quả</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Quy mô tài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14.972 từ · 183 tiêu đề · 14 bảng · 10 hình/sơ đồ</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Tên dự án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NHÀ HÁT NGỌC TRAI VÀ CÔNG VIÊN VĂN HÓA NGHỆ THUẬT CHUYÊN ĐỀ</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Chủ đầu tư tìm thấy</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Công ty TNHH Thành phố Mặt Trời</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Nghi lẫn tên dự án/CĐT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19"/>
              </w:rPr>
              <w:t>Không</w:t>
            </w:r>
          </w:p>
        </w:tc>
      </w:tr>
      <w:tr>
        <w:trPr>
          <w:cantSplit w:val="true"/>
        </w:trP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19"/>
              </w:rPr>
              <w:t>Chỗ trống chờ điền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19"/>
              </w:rPr>
              <w:t>Không</w:t>
            </w:r>
          </w:p>
        </w:tc>
      </w:tr>
    </w:tbl>
    <w:p>
      <w:pPr>
        <w:keepNext w:val="0"/>
        <w:spacing w:before="0" w:after="200" w:line="276" w:lineRule="auto"/>
        <w:jc w:val="both"/>
      </w:pPr>
    </w:p>
    <w:tbl>
      <w:tblPr>
        <w:jc w:val="center"/>
        <w:tblLayout w:type="fixed"/>
        <w:tblLook w:firstColumn="1" w:firstRow="1" w:lastColumn="0" w:lastRow="0" w:noHBand="0" w:noVBand="1" w:val="04A0"/>
        <w:tblLayout w:type="fixed"/>
        <w:tblW w:w="9026" w:type="dxa"/>
      </w:tblPr>
      <w:tblGrid>
        <w:gridCol w:w="3249"/>
        <w:gridCol w:w="5777"/>
      </w:tblGrid>
      <w:tr>
        <w:trPr>
          <w:cantSplit w:val="true"/>
        </w:trPr>
        <w:tc>
          <w:tcPr>
            <w:tcW w:type="dxa" w:w="3249"/>
            <w:vMerge w:val="restart"/>
            <w:tcBorders>
              <w:top w:val="nil"/>
              <w:left w:val="nil"/>
              <w:bottom w:val="nil"/>
              <w:right w:val="nil"/>
            </w:tcBorders>
            <w:tcMar>
              <w:top w:w="0" w:type="dxa"/>
              <w:left w:w="100" w:type="dxa"/>
              <w:bottom w:w="0" w:type="dxa"/>
              <w:right w:w="100" w:type="dxa"/>
            </w:tcMar>
          </w:tcPr>
          <w:p>
            <w:pPr>
              <w:spacing w:after="30" w:before="0" w:line="264" w:lineRule="auto"/>
              <w:jc w:val="left"/>
            </w:pPr>
            <w:r>
              <w:rPr>
                <w:rFonts w:ascii="Times New Roman" w:hAnsi="Times New Roman" w:cs="Times New Roman" w:eastAsia="Times New Roman"/>
                <w:b/>
                <w:i/>
                <w:sz w:val="22"/>
              </w:rPr>
              <w:t>Nơi nhận:</w:t>
            </w:r>
          </w:p>
          <w:p>
            <w:pPr>
              <w:spacing w:after="30" w:before="0" w:line="264" w:lineRule="auto"/>
              <w:jc w:val="left"/>
            </w:pPr>
            <w:r>
              <w:rPr>
                <w:rFonts w:ascii="Times New Roman" w:hAnsi="Times New Roman" w:cs="Times New Roman" w:eastAsia="Times New Roman"/>
                <w:b w:val="0"/>
                <w:i w:val="0"/>
                <w:sz w:val="20"/>
              </w:rPr>
              <w:t>- Trung tâm lập đề cương</w:t>
            </w:r>
          </w:p>
          <w:p>
            <w:pPr>
              <w:spacing w:after="30" w:before="0" w:line="264" w:lineRule="auto"/>
              <w:jc w:val="left"/>
            </w:pPr>
            <w:r>
              <w:rPr>
                <w:rFonts w:ascii="Times New Roman" w:hAnsi="Times New Roman" w:cs="Times New Roman" w:eastAsia="Times New Roman"/>
                <w:b w:val="0"/>
                <w:i w:val="0"/>
                <w:sz w:val="20"/>
              </w:rPr>
              <w:t>- Lưu P.KT</w:t>
            </w:r>
          </w:p>
        </w:tc>
        <w:tc>
          <w:tcPr>
            <w:tcW w:type="dxa" w:w="5777"/>
            <w:tcBorders>
              <w:top w:val="nil"/>
              <w:left w:val="nil"/>
              <w:bottom w:val="nil"/>
              <w:right w:val="nil"/>
            </w:tcBorders>
            <w:tcMar>
              <w:top w:w="0" w:type="dxa"/>
              <w:left w:w="100" w:type="dxa"/>
              <w:bottom w:w="0" w:type="dxa"/>
              <w:right w:w="100" w:type="dxa"/>
            </w:tcMar>
          </w:tcPr>
          <w:p>
            <w:pPr>
              <w:spacing w:after="80" w:before="0" w:line="264" w:lineRule="auto"/>
              <w:jc w:val="center"/>
            </w:pPr>
            <w:r>
              <w:rPr>
                <w:rFonts w:ascii="Times New Roman" w:hAnsi="Times New Roman" w:cs="Times New Roman" w:eastAsia="Times New Roman"/>
                <w:b w:val="0"/>
                <w:i/>
                <w:sz w:val="22"/>
              </w:rPr>
              <w:t>Hà Nội, ngày 23 tháng 10 năm 2026</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TRƯỞNG PHÒNG</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3"/>
              </w:rPr>
              <w:t>KỸ THUẬT</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val="0"/>
                <w:i/>
                <w:color w:val="595959"/>
                <w:sz w:val="20"/>
              </w:rPr>
              <w:t>(Ký, ghi rõ họ tên)</w:t>
            </w: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960" w:before="0" w:line="264" w:lineRule="auto"/>
              <w:jc w:val="left"/>
            </w:pPr>
          </w:p>
        </w:tc>
      </w:tr>
      <w:tr>
        <w:trPr>
          <w:cantSplit w:val="true"/>
        </w:trPr>
        <w:tc>
          <w:tcPr>
            <w:tcW w:type="dxa" w:w="3249"/>
            <w:vMerge/>
            <w:tcBorders>
              <w:top w:val="nil"/>
              <w:left w:val="nil"/>
              <w:bottom w:val="nil"/>
              <w:right w:val="nil"/>
            </w:tcBorders>
            <w:tcMar>
              <w:top w:w="0" w:type="dxa"/>
              <w:left w:w="100" w:type="dxa"/>
              <w:bottom w:w="0" w:type="dxa"/>
              <w:right w:w="100" w:type="dxa"/>
            </w:tcMar>
          </w:tcPr>
          <w:p/>
        </w:tc>
        <w:tc>
          <w:tcPr>
            <w:tcW w:type="dxa" w:w="5777"/>
            <w:tcBorders>
              <w:top w:val="nil"/>
              <w:left w:val="nil"/>
              <w:bottom w:val="nil"/>
              <w:right w:val="nil"/>
            </w:tcBorders>
            <w:tcMar>
              <w:top w:w="0" w:type="dxa"/>
              <w:left w:w="100" w:type="dxa"/>
              <w:bottom w:w="0" w:type="dxa"/>
              <w:right w:w="100" w:type="dxa"/>
            </w:tcMar>
          </w:tcPr>
          <w:p>
            <w:pPr>
              <w:spacing w:after="0" w:before="0" w:line="264" w:lineRule="auto"/>
              <w:jc w:val="center"/>
            </w:pPr>
            <w:r>
              <w:rPr>
                <w:rFonts w:ascii="Times New Roman" w:hAnsi="Times New Roman" w:cs="Times New Roman" w:eastAsia="Times New Roman"/>
                <w:b/>
                <w:i w:val="0"/>
                <w:sz w:val="24"/>
              </w:rPr>
              <w:t>Hoàng Đức Vũ</w:t>
            </w:r>
          </w:p>
        </w:tc>
      </w:tr>
    </w:tbl>
    <w:sectPr w:rsidR="00FC693F" w:rsidRPr="0006063C" w:rsidSect="00034616">
      <w:headerReference w:type="default" r:id="rId9"/>
      <w:footerReference w:type="default" r:id="rId10"/>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Tài liệu nội bộ · Phiếu kiểm tra đề cương TVGS</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PHÒNG KỸ THUẬT</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PHIẾU KIỂM TRA ĐỀ CƯƠNG TVGS</w:t>
          </w:r>
        </w:p>
        <w:p>
          <w:pPr>
            <w:spacing w:after="40" w:before="0" w:line="264" w:lineRule="auto"/>
            <w:jc w:val="right"/>
          </w:pPr>
          <w:r>
            <w:rPr>
              <w:rFonts w:ascii="Times New Roman" w:hAnsi="Times New Roman" w:cs="Times New Roman" w:eastAsia="Times New Roman"/>
              <w:b w:val="0"/>
              <w:i/>
              <w:color w:val="595959"/>
              <w:sz w:val="16"/>
            </w:rPr>
            <w:t>TT09 De cuong giam sat Trac dac</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