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40" w:line="276" w:lineRule="auto"/>
        <w:jc w:val="center"/>
      </w:pPr>
      <w:r>
        <w:rPr>
          <w:rFonts w:ascii="Times New Roman" w:hAnsi="Times New Roman" w:cs="Times New Roman" w:eastAsia="Times New Roman"/>
          <w:b/>
          <w:i w:val="0"/>
          <w:color w:val="1F3864"/>
          <w:sz w:val="32"/>
        </w:rPr>
        <w:t>PHIẾU KIỂM TRA ĐỀ CƯƠNG TƯ VẤN GIÁM SÁT</w:t>
      </w:r>
    </w:p>
    <w:p>
      <w:pPr>
        <w:keepNext w:val="0"/>
        <w:spacing w:before="0" w:after="160" w:line="276" w:lineRule="auto"/>
        <w:jc w:val="center"/>
      </w:pPr>
      <w:r>
        <w:rPr>
          <w:rFonts w:ascii="Times New Roman" w:hAnsi="Times New Roman" w:cs="Times New Roman" w:eastAsia="Times New Roman"/>
          <w:b w:val="0"/>
          <w:i/>
          <w:color w:val="595959"/>
          <w:sz w:val="24"/>
        </w:rPr>
        <w:t>TT12 250415 De cuong TVGS Taseco Long Thanh</w:t>
      </w:r>
    </w:p>
    <w:tbl>
      <w:tblPr>
        <w:jc w:val="center"/>
        <w:tblLayout w:type="fixed"/>
        <w:tblLook w:firstColumn="1" w:firstRow="1" w:lastColumn="0" w:lastRow="0" w:noHBand="0" w:noVBand="1" w:val="04A0"/>
        <w:tblLayout w:type="fixed"/>
        <w:tblW w:w="9026" w:type="dxa"/>
      </w:tblPr>
      <w:tblGrid>
        <w:gridCol w:w="2708"/>
        <w:gridCol w:w="6318"/>
      </w:tblGrid>
      <w:tr>
        <w:trPr>
          <w:cantSplit w:val="true"/>
        </w:trPr>
        <w:tc>
          <w:tcPr>
            <w:tcW w:type="dxa" w:w="270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Đề cương / dự án</w:t>
            </w:r>
          </w:p>
        </w:tc>
        <w:tc>
          <w:tcPr>
            <w:tcW w:type="dxa" w:w="631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TT12 250415 De cuong TVGS Taseco Long Thanh</w:t>
            </w:r>
          </w:p>
        </w:tc>
      </w:tr>
      <w:tr>
        <w:trPr>
          <w:cantSplit w:val="true"/>
        </w:trPr>
        <w:tc>
          <w:tcPr>
            <w:tcW w:type="dxa" w:w="270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Đơn vị lập</w:t>
            </w:r>
          </w:p>
        </w:tc>
        <w:tc>
          <w:tcPr>
            <w:tcW w:type="dxa" w:w="631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Trung tâm 12</w:t>
            </w:r>
          </w:p>
        </w:tc>
      </w:tr>
      <w:tr>
        <w:trPr>
          <w:cantSplit w:val="true"/>
        </w:trPr>
        <w:tc>
          <w:tcPr>
            <w:tcW w:type="dxa" w:w="270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File kiểm tra</w:t>
            </w:r>
          </w:p>
        </w:tc>
        <w:tc>
          <w:tcPr>
            <w:tcW w:type="dxa" w:w="631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1744701998bia.docx, 1744702004to-lot.docx, 1744702170de-cuong-tvgs-nha-suat-an-long-thanh.docx</w:t>
            </w:r>
          </w:p>
        </w:tc>
      </w:tr>
      <w:tr>
        <w:trPr>
          <w:cantSplit w:val="true"/>
        </w:trPr>
        <w:tc>
          <w:tcPr>
            <w:tcW w:type="dxa" w:w="270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Mẫu áp dụng</w:t>
            </w:r>
          </w:p>
        </w:tc>
        <w:tc>
          <w:tcPr>
            <w:tcW w:type="dxa" w:w="631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Nâng cao (công cụ tự nhận: Nâng cao)</w:t>
            </w:r>
          </w:p>
        </w:tc>
      </w:tr>
      <w:tr>
        <w:trPr>
          <w:cantSplit w:val="true"/>
        </w:trPr>
        <w:tc>
          <w:tcPr>
            <w:tcW w:type="dxa" w:w="270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Thời điểm lập đề cương</w:t>
            </w:r>
          </w:p>
        </w:tc>
        <w:tc>
          <w:tcPr>
            <w:tcW w:type="dxa" w:w="631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Không xác định trên bìa</w:t>
            </w:r>
          </w:p>
        </w:tc>
      </w:tr>
      <w:tr>
        <w:trPr>
          <w:cantSplit w:val="true"/>
        </w:trPr>
        <w:tc>
          <w:tcPr>
            <w:tcW w:type="dxa" w:w="270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Ngày kiểm tra</w:t>
            </w:r>
          </w:p>
        </w:tc>
        <w:tc>
          <w:tcPr>
            <w:tcW w:type="dxa" w:w="631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23/10/2026</w:t>
            </w:r>
          </w:p>
        </w:tc>
      </w:tr>
    </w:tbl>
    <w:p>
      <w:pPr>
        <w:keepNext w:val="0"/>
        <w:spacing w:before="0" w:after="120" w:line="276" w:lineRule="auto"/>
        <w:jc w:val="both"/>
      </w:pPr>
    </w:p>
    <w:tbl>
      <w:tblPr>
        <w:jc w:val="center"/>
        <w:tblLayout w:type="fixed"/>
        <w:tblLook w:firstColumn="1" w:firstRow="1" w:lastColumn="0" w:lastRow="0" w:noHBand="0" w:noVBand="1" w:val="04A0"/>
        <w:tblLayout w:type="fixed"/>
        <w:tblW w:w="9026" w:type="dxa"/>
      </w:tblPr>
      <w:tblGrid>
        <w:gridCol w:w="2151"/>
        <w:gridCol w:w="140"/>
        <w:gridCol w:w="2151"/>
        <w:gridCol w:w="140"/>
        <w:gridCol w:w="2151"/>
        <w:gridCol w:w="140"/>
        <w:gridCol w:w="2153"/>
      </w:tblGrid>
      <w:tr>
        <w:trPr>
          <w:cantSplit w:val="true"/>
        </w:trPr>
        <w:tc>
          <w:tcPr>
            <w:tcW w:type="dxa" w:w="2151"/>
            <w:tcBorders>
              <w:top w:val="single" w:sz="24" w:color="C45911"/>
              <w:left w:val="nil"/>
              <w:bottom w:val="nil"/>
              <w:right w:val="nil"/>
            </w:tcBorders>
            <w:shd w:val="clear" w:color="auto" w:fill="FFF1DE"/>
            <w:tcMar>
              <w:top w:w="80" w:type="dxa"/>
              <w:left w:w="100" w:type="dxa"/>
              <w:bottom w:w="80" w:type="dxa"/>
              <w:right w:w="100" w:type="dxa"/>
            </w:tcMar>
          </w:tcPr>
          <w:p>
            <w:pPr>
              <w:spacing w:after="0" w:before="0" w:line="264" w:lineRule="auto"/>
              <w:jc w:val="center"/>
            </w:pPr>
            <w:r>
              <w:rPr>
                <w:rFonts w:ascii="Times New Roman" w:hAnsi="Times New Roman" w:cs="Times New Roman" w:eastAsia="Times New Roman"/>
                <w:b/>
                <w:i w:val="0"/>
                <w:color w:val="C45911"/>
                <w:sz w:val="44"/>
              </w:rPr>
              <w:t>95</w:t>
            </w:r>
          </w:p>
          <w:p>
            <w:pPr>
              <w:spacing w:after="20" w:before="0" w:line="264" w:lineRule="auto"/>
              <w:jc w:val="center"/>
            </w:pPr>
            <w:r>
              <w:rPr>
                <w:rFonts w:ascii="Times New Roman" w:hAnsi="Times New Roman" w:cs="Times New Roman" w:eastAsia="Times New Roman"/>
                <w:b/>
                <w:i w:val="0"/>
                <w:color w:val="1F3864"/>
                <w:sz w:val="21"/>
              </w:rPr>
              <w:t>Điểm khung</w:t>
            </w:r>
          </w:p>
          <w:p>
            <w:pPr>
              <w:spacing w:after="40" w:before="0" w:line="264" w:lineRule="auto"/>
              <w:jc w:val="center"/>
            </w:pPr>
            <w:r>
              <w:rPr>
                <w:rFonts w:ascii="Times New Roman" w:hAnsi="Times New Roman" w:cs="Times New Roman" w:eastAsia="Times New Roman"/>
                <w:b w:val="0"/>
                <w:i/>
                <w:color w:val="595959"/>
                <w:sz w:val="18"/>
              </w:rPr>
              <w:t>/100 theo mẫu Nâng cao</w:t>
            </w:r>
          </w:p>
        </w:tc>
        <w:tc>
          <w:tcPr>
            <w:tcW w:type="dxa" w:w="140"/>
            <w:tcBorders>
              <w:top w:val="nil"/>
              <w:left w:val="nil"/>
              <w:bottom w:val="nil"/>
              <w:right w:val="nil"/>
            </w:tcBorders>
          </w:tcPr>
          <w:p/>
        </w:tc>
        <w:tc>
          <w:tcPr>
            <w:tcW w:type="dxa" w:w="2151"/>
            <w:tcBorders>
              <w:top w:val="single" w:sz="24" w:color="C00000"/>
              <w:left w:val="nil"/>
              <w:bottom w:val="nil"/>
              <w:right w:val="nil"/>
            </w:tcBorders>
            <w:shd w:val="clear" w:color="auto" w:fill="FDE4E1"/>
            <w:tcMar>
              <w:top w:w="80" w:type="dxa"/>
              <w:left w:w="100" w:type="dxa"/>
              <w:bottom w:w="80" w:type="dxa"/>
              <w:right w:w="100" w:type="dxa"/>
            </w:tcMar>
          </w:tcPr>
          <w:p>
            <w:pPr>
              <w:spacing w:after="0" w:before="0" w:line="264" w:lineRule="auto"/>
              <w:jc w:val="center"/>
            </w:pPr>
            <w:r>
              <w:rPr>
                <w:rFonts w:ascii="Times New Roman" w:hAnsi="Times New Roman" w:cs="Times New Roman" w:eastAsia="Times New Roman"/>
                <w:b/>
                <w:i w:val="0"/>
                <w:color w:val="C00000"/>
                <w:sz w:val="44"/>
              </w:rPr>
              <w:t>9</w:t>
            </w:r>
          </w:p>
          <w:p>
            <w:pPr>
              <w:spacing w:after="20" w:before="0" w:line="264" w:lineRule="auto"/>
              <w:jc w:val="center"/>
            </w:pPr>
            <w:r>
              <w:rPr>
                <w:rFonts w:ascii="Times New Roman" w:hAnsi="Times New Roman" w:cs="Times New Roman" w:eastAsia="Times New Roman"/>
                <w:b/>
                <w:i w:val="0"/>
                <w:color w:val="1F3864"/>
                <w:sz w:val="21"/>
              </w:rPr>
              <w:t>Phải xử lý</w:t>
            </w:r>
          </w:p>
          <w:p>
            <w:pPr>
              <w:spacing w:after="40" w:before="0" w:line="264" w:lineRule="auto"/>
              <w:jc w:val="center"/>
            </w:pPr>
            <w:r>
              <w:rPr>
                <w:rFonts w:ascii="Times New Roman" w:hAnsi="Times New Roman" w:cs="Times New Roman" w:eastAsia="Times New Roman"/>
                <w:b w:val="0"/>
                <w:i/>
                <w:color w:val="595959"/>
                <w:sz w:val="18"/>
              </w:rPr>
              <w:t>trước khi trình ký</w:t>
            </w:r>
          </w:p>
        </w:tc>
        <w:tc>
          <w:tcPr>
            <w:tcW w:type="dxa" w:w="140"/>
            <w:tcBorders>
              <w:top w:val="nil"/>
              <w:left w:val="nil"/>
              <w:bottom w:val="nil"/>
              <w:right w:val="nil"/>
            </w:tcBorders>
          </w:tcPr>
          <w:p/>
        </w:tc>
        <w:tc>
          <w:tcPr>
            <w:tcW w:type="dxa" w:w="2151"/>
            <w:tcBorders>
              <w:top w:val="single" w:sz="24" w:color="2E5496"/>
              <w:left w:val="nil"/>
              <w:bottom w:val="nil"/>
              <w:right w:val="nil"/>
            </w:tcBorders>
            <w:shd w:val="clear" w:color="auto" w:fill="D9E1F2"/>
            <w:tcMar>
              <w:top w:w="80" w:type="dxa"/>
              <w:left w:w="100" w:type="dxa"/>
              <w:bottom w:w="80" w:type="dxa"/>
              <w:right w:w="100" w:type="dxa"/>
            </w:tcMar>
          </w:tcPr>
          <w:p>
            <w:pPr>
              <w:spacing w:after="0" w:before="0" w:line="264" w:lineRule="auto"/>
              <w:jc w:val="center"/>
            </w:pPr>
            <w:r>
              <w:rPr>
                <w:rFonts w:ascii="Times New Roman" w:hAnsi="Times New Roman" w:cs="Times New Roman" w:eastAsia="Times New Roman"/>
                <w:b/>
                <w:i w:val="0"/>
                <w:color w:val="2E5496"/>
                <w:sz w:val="44"/>
              </w:rPr>
              <w:t>31</w:t>
            </w:r>
          </w:p>
          <w:p>
            <w:pPr>
              <w:spacing w:after="20" w:before="0" w:line="264" w:lineRule="auto"/>
              <w:jc w:val="center"/>
            </w:pPr>
            <w:r>
              <w:rPr>
                <w:rFonts w:ascii="Times New Roman" w:hAnsi="Times New Roman" w:cs="Times New Roman" w:eastAsia="Times New Roman"/>
                <w:b/>
                <w:i w:val="0"/>
                <w:color w:val="1F3864"/>
                <w:sz w:val="21"/>
              </w:rPr>
              <w:t>Hạng mục chi tiết</w:t>
            </w:r>
          </w:p>
          <w:p>
            <w:pPr>
              <w:spacing w:after="40" w:before="0" w:line="264" w:lineRule="auto"/>
              <w:jc w:val="center"/>
            </w:pPr>
            <w:r>
              <w:rPr>
                <w:rFonts w:ascii="Times New Roman" w:hAnsi="Times New Roman" w:cs="Times New Roman" w:eastAsia="Times New Roman"/>
                <w:b w:val="0"/>
                <w:i/>
                <w:color w:val="595959"/>
                <w:sz w:val="18"/>
              </w:rPr>
              <w:t>có mục giám sát riêng</w:t>
            </w:r>
          </w:p>
        </w:tc>
        <w:tc>
          <w:tcPr>
            <w:tcW w:type="dxa" w:w="140"/>
            <w:tcBorders>
              <w:top w:val="nil"/>
              <w:left w:val="nil"/>
              <w:bottom w:val="nil"/>
              <w:right w:val="nil"/>
            </w:tcBorders>
          </w:tcPr>
          <w:p/>
        </w:tc>
        <w:tc>
          <w:tcPr>
            <w:tcW w:type="dxa" w:w="2153"/>
            <w:tcBorders>
              <w:top w:val="single" w:sz="24" w:color="C00000"/>
              <w:left w:val="nil"/>
              <w:bottom w:val="nil"/>
              <w:right w:val="nil"/>
            </w:tcBorders>
            <w:shd w:val="clear" w:color="auto" w:fill="FDE4E1"/>
            <w:tcMar>
              <w:top w:w="80" w:type="dxa"/>
              <w:left w:w="100" w:type="dxa"/>
              <w:bottom w:w="80" w:type="dxa"/>
              <w:right w:w="100" w:type="dxa"/>
            </w:tcMar>
          </w:tcPr>
          <w:p>
            <w:pPr>
              <w:spacing w:after="0" w:before="0" w:line="264" w:lineRule="auto"/>
              <w:jc w:val="center"/>
            </w:pPr>
            <w:r>
              <w:rPr>
                <w:rFonts w:ascii="Times New Roman" w:hAnsi="Times New Roman" w:cs="Times New Roman" w:eastAsia="Times New Roman"/>
                <w:b/>
                <w:i w:val="0"/>
                <w:color w:val="C00000"/>
                <w:sz w:val="44"/>
              </w:rPr>
              <w:t>8</w:t>
            </w:r>
          </w:p>
          <w:p>
            <w:pPr>
              <w:spacing w:after="20" w:before="0" w:line="264" w:lineRule="auto"/>
              <w:jc w:val="center"/>
            </w:pPr>
            <w:r>
              <w:rPr>
                <w:rFonts w:ascii="Times New Roman" w:hAnsi="Times New Roman" w:cs="Times New Roman" w:eastAsia="Times New Roman"/>
                <w:b/>
                <w:i w:val="0"/>
                <w:color w:val="1F3864"/>
                <w:sz w:val="21"/>
              </w:rPr>
              <w:t>Căn cứ hết hiệu lực</w:t>
            </w:r>
          </w:p>
          <w:p>
            <w:pPr>
              <w:spacing w:after="40" w:before="0" w:line="264" w:lineRule="auto"/>
              <w:jc w:val="center"/>
            </w:pPr>
            <w:r>
              <w:rPr>
                <w:rFonts w:ascii="Times New Roman" w:hAnsi="Times New Roman" w:cs="Times New Roman" w:eastAsia="Times New Roman"/>
                <w:b w:val="0"/>
                <w:i/>
                <w:color w:val="595959"/>
                <w:sz w:val="18"/>
              </w:rPr>
              <w:t>loại văn bản</w:t>
            </w:r>
          </w:p>
        </w:tc>
      </w:tr>
    </w:tbl>
    <w:p>
      <w:pPr>
        <w:keepNext w:val="0"/>
        <w:spacing w:before="0" w:after="120" w:line="276" w:lineRule="auto"/>
        <w:jc w:val="both"/>
      </w:pPr>
    </w:p>
    <w:tbl>
      <w:tblPr>
        <w:jc w:val="center"/>
        <w:tblLayout w:type="fixed"/>
        <w:tblLook w:firstColumn="1" w:firstRow="1" w:lastColumn="0" w:lastRow="0" w:noHBand="0" w:noVBand="1" w:val="04A0"/>
        <w:tblLayout w:type="fixed"/>
        <w:tblW w:w="9026" w:type="dxa"/>
      </w:tblPr>
      <w:tblGrid>
        <w:gridCol w:w="9026"/>
      </w:tblGrid>
      <w:tr>
        <w:trPr>
          <w:cantSplit w:val="true"/>
        </w:trPr>
        <w:tc>
          <w:tcPr>
            <w:tcW w:type="dxa" w:w="9026"/>
            <w:tcBorders>
              <w:top w:val="nil"/>
              <w:left w:val="single" w:sz="36" w:color="C45911"/>
              <w:bottom w:val="nil"/>
              <w:right w:val="nil"/>
            </w:tcBorders>
            <w:shd w:val="clear" w:color="auto" w:fill="FFF1DE"/>
            <w:tcMar>
              <w:top w:w="120" w:type="dxa"/>
              <w:left w:w="160" w:type="dxa"/>
              <w:bottom w:w="120" w:type="dxa"/>
              <w:right w:w="140" w:type="dxa"/>
            </w:tcMar>
          </w:tcPr>
          <w:p>
            <w:pPr>
              <w:spacing w:after="60" w:before="0" w:line="264" w:lineRule="auto"/>
              <w:jc w:val="left"/>
            </w:pPr>
            <w:r>
              <w:rPr>
                <w:rFonts w:ascii="Times New Roman" w:hAnsi="Times New Roman" w:cs="Times New Roman" w:eastAsia="Times New Roman"/>
                <w:b/>
                <w:i w:val="0"/>
                <w:color w:val="C45911"/>
                <w:sz w:val="23"/>
              </w:rPr>
              <w:t>KẾT LUẬN</w:t>
            </w:r>
          </w:p>
          <w:p>
            <w:pPr>
              <w:spacing w:after="40" w:before="0" w:line="288" w:lineRule="auto"/>
              <w:jc w:val="both"/>
            </w:pPr>
            <w:r>
              <w:rPr>
                <w:rFonts w:ascii="Times New Roman" w:hAnsi="Times New Roman" w:cs="Times New Roman" w:eastAsia="Times New Roman"/>
                <w:b w:val="0"/>
                <w:i w:val="0"/>
                <w:sz w:val="23"/>
              </w:rPr>
              <w:t>Kết luận: Cần chỉnh sửa, bổ sung trước khi trình ký.</w:t>
            </w:r>
          </w:p>
          <w:p>
            <w:pPr>
              <w:spacing w:after="40" w:before="0" w:line="288" w:lineRule="auto"/>
              <w:jc w:val="both"/>
            </w:pPr>
            <w:r>
              <w:rPr>
                <w:rFonts w:ascii="Times New Roman" w:hAnsi="Times New Roman" w:cs="Times New Roman" w:eastAsia="Times New Roman"/>
                <w:b w:val="0"/>
                <w:i w:val="0"/>
                <w:sz w:val="23"/>
              </w:rPr>
              <w:t>Các việc cần xử lý chính: Hạng mục: Giám sát hệ thống kiểm soát xe tự động; Căn cứ hết hiệu lực: Luật Xây dựng 50/2014/QH13; Căn cứ hết hiệu lực: Luật sửa đổi Luật Xây dựng 62/2020/QH14; Căn cứ hết hiệu lực: Nghị định 06/2021/NĐ-CP; Căn cứ hết hiệu lực: Thông tư 10/2021/TT-BXD.</w:t>
            </w:r>
          </w:p>
          <w:p>
            <w:pPr>
              <w:spacing w:after="40" w:before="0" w:line="288" w:lineRule="auto"/>
              <w:jc w:val="both"/>
            </w:pPr>
            <w:r>
              <w:rPr>
                <w:rFonts w:ascii="Times New Roman" w:hAnsi="Times New Roman" w:cs="Times New Roman" w:eastAsia="Times New Roman"/>
                <w:b w:val="0"/>
                <w:i w:val="0"/>
                <w:sz w:val="23"/>
              </w:rPr>
              <w:t>Lưu ý bắt buộc: trước khi trình ký, rà soát văn bản pháp luật, tiêu chuẩn viện dẫn bằng công cụ TEXO Legal Reviewer để bảo đảm dùng phiên bản mới nhất.</w:t>
            </w:r>
          </w:p>
        </w:tc>
      </w:tr>
    </w:tbl>
    <w:p>
      <w:pPr>
        <w:keepNext w:val="0"/>
        <w:spacing w:before="0" w:after="160" w:line="276" w:lineRule="auto"/>
        <w:jc w:val="both"/>
      </w:pPr>
    </w:p>
    <w:p>
      <w:pPr>
        <w:keepNext/>
        <w:spacing w:before="280" w:after="140" w:line="276" w:lineRule="auto"/>
        <w:jc w:val="left"/>
        <w:pBdr>
          <w:bottom w:val="single" w:sz="8" w:space="2" w:color="2E5496"/>
        </w:pBdr>
      </w:pPr>
      <w:r>
        <w:rPr>
          <w:rFonts w:ascii="Times New Roman" w:hAnsi="Times New Roman" w:cs="Times New Roman" w:eastAsia="Times New Roman"/>
          <w:b/>
          <w:i w:val="0"/>
          <w:color w:val="1F3864"/>
          <w:sz w:val="28"/>
        </w:rPr>
        <w:t>1. Việc cần xử lý trước khi trình ký</w:t>
      </w:r>
    </w:p>
    <w:tbl>
      <w:tblPr>
        <w:jc w:val="center"/>
        <w:tblLayout w:type="fixed"/>
        <w:tblLook w:firstColumn="1" w:firstRow="1" w:lastColumn="0" w:lastRow="0" w:noHBand="0" w:noVBand="1" w:val="04A0"/>
        <w:tblLayout w:type="fixed"/>
        <w:tblW w:w="9026" w:type="dxa"/>
      </w:tblPr>
      <w:tblGrid>
        <w:gridCol w:w="450"/>
        <w:gridCol w:w="2900"/>
        <w:gridCol w:w="2200"/>
        <w:gridCol w:w="2226"/>
        <w:gridCol w:w="1250"/>
      </w:tblGrid>
      <w:tr>
        <w:trPr>
          <w:cantSplit w:val="true"/>
          <w:tblHeader w:val="true"/>
        </w:trPr>
        <w:tc>
          <w:tcPr>
            <w:tcW w:type="dxa" w:w="4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w:t>
            </w:r>
          </w:p>
        </w:tc>
        <w:tc>
          <w:tcPr>
            <w:tcW w:type="dxa" w:w="29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Nội dung</w:t>
            </w:r>
          </w:p>
        </w:tc>
        <w:tc>
          <w:tcPr>
            <w:tcW w:type="dxa" w:w="22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Hiện trạng</w:t>
            </w:r>
          </w:p>
        </w:tc>
        <w:tc>
          <w:tcPr>
            <w:tcW w:type="dxa" w:w="22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Yêu cầu sửa</w:t>
            </w:r>
          </w:p>
        </w:tc>
        <w:tc>
          <w:tcPr>
            <w:tcW w:type="dxa" w:w="12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Mức độ</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1</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Hạng mục: Giám sát hệ thống kiểm soát xe tự động</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Không có</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Bổ sung mục giám sát chi tiết (bảng nội dung – phương pháp – tiêu chuẩn – hồ sơ)</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00000"/>
                <w:sz w:val="18"/>
              </w:rPr>
              <w:t>Phải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2</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Căn cứ hết hiệu lực: Luật Xây dựng 50/2014/QH13</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Viện dẫn 1 lần</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Thay bằng Luật Xây dựng số 135/2025/QH15 (hiệu lực 01/7/2026)</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00000"/>
                <w:sz w:val="18"/>
              </w:rPr>
              <w:t>Phải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3</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Căn cứ hết hiệu lực: Luật sửa đổi Luật Xây dựng 62/2020/QH14</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Viện dẫn 1 lần</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Thay bằng Luật Xây dựng số 135/2025/QH15</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00000"/>
                <w:sz w:val="18"/>
              </w:rPr>
              <w:t>Phải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4</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Căn cứ hết hiệu lực: Nghị định 06/2021/NĐ-CP</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Viện dẫn 18 lần</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Thay bằng Nghị định số 207/2026/NĐ-CP (hiệu lực 01/7/2026)</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00000"/>
                <w:sz w:val="18"/>
              </w:rPr>
              <w:t>Phải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5</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Căn cứ hết hiệu lực: Thông tư 10/2021/TT-BXD</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Viện dẫn 4 lần</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Thay bằng Thông tư số 32/2026/TT-BXD</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00000"/>
                <w:sz w:val="18"/>
              </w:rPr>
              <w:t>Phải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6</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Căn cứ hết hiệu lực: Nghị định 175/2024/NĐ-CP</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Viện dẫn 3 lần</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Thay bằng Nghị định số 217/2026/NĐ-CP (quản lý hoạt động xây dựng) và Nghị định số 212/2026/NĐ-CP (điều kiện năng lực)</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00000"/>
                <w:sz w:val="18"/>
              </w:rPr>
              <w:t>Phải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7</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Căn cứ hết hiệu lực: Nghị định 46/2015/NĐ-CP</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Viện dẫn 2 lần</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Thay bằng Nghị định số 207/2026/NĐ-CP</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00000"/>
                <w:sz w:val="18"/>
              </w:rPr>
              <w:t>Phải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8</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Căn cứ hết hiệu lực: Thông tư 149/2020/TT-BCA (PCCC)</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Viện dẫn 1 lần</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Thay bằng Thông tư số 36/2025/TT-BCA</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00000"/>
                <w:sz w:val="18"/>
              </w:rPr>
              <w:t>Phải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9</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Căn cứ hết hiệu lực: Nghị định 50/2024/NĐ-CP (sửa NĐ 136/2020)</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Viện dẫn 8 lần</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Thay bằng Nghị định số 105/2025/NĐ-CP (sửa đổi bởi NĐ 347/2026/NĐ-CP)</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00000"/>
                <w:sz w:val="18"/>
              </w:rPr>
              <w:t>Phải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10</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CL04 – Kiểm tra phòng thí nghiệm, cơ sở sản xuất vật liệu</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Nhắc 69 lần trong thân bài, chưa có tiêu đề riêng</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Tách thành tiêu đề riêng, viết đầy đủ nội dung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11</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TO06 – Ma trận trách nhiệm phối hợp các bên</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Thiếu</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Bổ sung mục riêng theo khung chuẩn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12</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TO09 – Biện pháp phòng ngừa sai sót</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Thiếu</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Bổ sung mục riêng theo khung chuẩn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13</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CT03 – Biểu mẫu hồ sơ (hoặc dẫn chiếu biểu mẫu dự án)</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Nhắc 51 lần trong thân bài, chưa có tiêu đề riêng</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Tách thành tiêu đề riêng, viết đầy đủ nội dung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14</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Hạng mục: Giám sát lắp đặt hệ thống xử lý nước thải</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Có nhắc, chưa thành mục chi tiết</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Bổ sung mục giám sát chi tiết (bảng nội dung – phương pháp – tiêu chuẩn – hồ sơ)</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15</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Hạng mục: Giám sát thi công hạ tầng kỹ thuật, đường giao thông, sân đường nội bộ</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Có nhắc, chưa thành mục chi tiết</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Bổ sung mục giám sát chi tiết (bảng nội dung – phương pháp – tiêu chuẩn – hồ sơ)</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16</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Hạng mục: Giám sát thi công cảnh quan, cây xanh</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Có nhắc, chưa thành mục chi tiết</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Bổ sung mục giám sát chi tiết (bảng nội dung – phương pháp – tiêu chuẩn – hồ sơ)</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17</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Hạng mục: Giám sát quan trắc lún, nghiêng, chuyển vị và kiểm định kết cấu</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Có nhắc, chưa thành mục chi tiết</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Bổ sung mục giám sát chi tiết (bảng nội dung – phương pháp – tiêu chuẩn – hồ sơ)</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18</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Còn chỗ trống, ký hiệu chờ điền</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19 vị trí</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Điền đầy đủ thông tin hoặc xóa</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bl>
    <w:p>
      <w:pPr>
        <w:keepNext/>
        <w:spacing w:before="280" w:after="140" w:line="276" w:lineRule="auto"/>
        <w:jc w:val="left"/>
        <w:pBdr>
          <w:bottom w:val="single" w:sz="8" w:space="2" w:color="2E5496"/>
        </w:pBdr>
      </w:pPr>
      <w:r>
        <w:rPr>
          <w:rFonts w:ascii="Times New Roman" w:hAnsi="Times New Roman" w:cs="Times New Roman" w:eastAsia="Times New Roman"/>
          <w:b/>
          <w:i w:val="0"/>
          <w:color w:val="1F3864"/>
          <w:sz w:val="28"/>
        </w:rPr>
        <w:t>2. Đối chiếu khung chuẩn đề cương TVGS</w:t>
      </w:r>
    </w:p>
    <w:tbl>
      <w:tblPr>
        <w:jc w:val="center"/>
        <w:tblLayout w:type="fixed"/>
        <w:tblLook w:firstColumn="1" w:firstRow="1" w:lastColumn="0" w:lastRow="0" w:noHBand="0" w:noVBand="1" w:val="04A0"/>
        <w:tblLayout w:type="fixed"/>
        <w:tblW w:w="9026" w:type="dxa"/>
      </w:tblPr>
      <w:tblGrid>
        <w:gridCol w:w="650"/>
        <w:gridCol w:w="3200"/>
        <w:gridCol w:w="900"/>
        <w:gridCol w:w="3026"/>
        <w:gridCol w:w="1250"/>
      </w:tblGrid>
      <w:tr>
        <w:trPr>
          <w:cantSplit w:val="true"/>
          <w:tblHeader w:val="true"/>
        </w:trPr>
        <w:tc>
          <w:tcPr>
            <w:tcW w:type="dxa" w:w="6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Mã</w:t>
            </w:r>
          </w:p>
        </w:tc>
        <w:tc>
          <w:tcPr>
            <w:tcW w:type="dxa" w:w="32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Tiêu chí</w:t>
            </w:r>
          </w:p>
        </w:tc>
        <w:tc>
          <w:tcPr>
            <w:tcW w:type="dxa" w:w="9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Cấp</w:t>
            </w:r>
          </w:p>
        </w:tc>
        <w:tc>
          <w:tcPr>
            <w:tcW w:type="dxa" w:w="3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Kết quả / bằng chứng</w:t>
            </w:r>
          </w:p>
        </w:tc>
        <w:tc>
          <w:tcPr>
            <w:tcW w:type="dxa" w:w="12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Mức độ</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Hình thức, bố cục</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HT01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Bìa đủ thông tin: Dự án, Công trình/Gói thầu, Địa điểm, Chủ đầu tư, Đơn vị TVGS</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Có: Dự án, Công trình/Gói thầu, Địa điểm, Chủ đầu tư, Đơn vị TVGS</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HT02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Tờ lót có ô ký Chủ đầu tư phê duyệt và Đại diện TVGS</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Có ô ký CĐT phê duyệt / TVGS</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HT03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Mục lục</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MỤC LỤC</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HT04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Bảng từ ngữ viết tắt</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TỪ NGỮ VIẾT TẮT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HT05</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Khổ giấy A4</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Khổ 21.0 × 29.7 cm</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HT06</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Tài liệu phát hành chỉ mang tên Công ty TEXO – không nêu đơn vị nội bộ (Trung tâm, VPĐT…)</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Không nêu đơn vị nội bộ</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Thông tin dự án, phạm vi công việc</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TC01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Thông tin dự án, công trình, gói thầu, địa điểm, chủ đầu tư</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Mô tả tóm tắt về dự án và gói thầu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TC02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Quy mô, loại – cấp công trình, giải pháp thiết kế chính</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1.</w:t>
              <w:tab/>
              <w:t>Đánh giá sự phù hợp về quy mô, công năng của công trình</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TC03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Phạm vi công việc TVGS</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PHẠM VI CÔNG VIỆC</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TC04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Sản phẩm của gói thầu TVGS</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chưa thành mục – Nhắc 1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TC05</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Các bên tham gia dự án / hồ sơ dữ liệu đầu vào</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chưa thành mục – Nhắc 2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Cơ sở thực hiện, vai trò các bên</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CS01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Cơ sở thực hiện: văn bản pháp luật hiện hành</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CƠ SỞ THỰC HIỆN CÔNG TÁC GIÁM SÁT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CS02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Hợp đồng TVGS, hồ sơ thiết kế, hợp đồng thi công – căn cứ của gói thầu</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Các hồ sơ pháp lý của gói thầu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CS03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Danh mục quy chuẩn, tiêu chuẩn áp dụng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Các tiêu chuẩn áp dụng chung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CS04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Vai trò, quyền và nghĩa vụ của Chủ đầu tư và TVGS</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VAI TRÒ TRÁCH NHIỆM CỦA CÁC BÊN LIÊN QUAN.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CS05</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Quyền, nghĩa vụ / quan hệ với TVTK và nhà thầu thi công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Phát hiện sai sót, bất hợp lý về thiết kế kiến nghị Chủ đầu tư yêu cầu Tư vấn thiết kế điều chỉnh:</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Giám sát chất lượng</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Kiểm tra điều kiện khởi công, công tác chuẩn bị thi công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GIAI ĐOẠN CHUẨN BỊ THI CÔNG: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Kiểm tra sự phù hợp năng lực nhà thầu (nhân lực, thiết bị)</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kiểm tra sự phù hợp năng lực của nhà thầu thi công xây dựng với hồ sơ dự thầu và hợp đồng xây dựng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Kiểm tra hệ thống quản lý chất lượng của nhà thầu</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Kiểm tra công tác quản lý chất lượng thi công xây dựng trên công trường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CL04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Kiểm tra phòng thí nghiệm, cơ sở sản xuất vật liệu</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chưa thành mục – Nhắc 69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45911"/>
                <w:sz w:val="17"/>
              </w:rPr>
              <w:t>Nên xử lý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CL05</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Kiểm tra, nghiệm thu vật liệu, sản phẩm, thiết bị đầu vào</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Kiểm tra và giám sát chất lượng vật tư, vật liệu và thiết bị lắp đặt vào công trình do Nhà thầu thi công xây dựng công 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CL06</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Kiểm tra biện pháp thi công của nhà thầu</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Kiểm tra biện pháp thi công của Nhà thầu thi công xây dựng công trình so với hồ sơ dự thầu đã được Chủ đầu tư chấp thuận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CL07</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Kiểm tra bản vẽ shopdrawing (triển khai, chế tạo, lắp đặt)</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DANH MỤC SHOPDRAWING ĐƯỢC PHÊ DUYỆT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CL08</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Giám sát thường xuyên, nhật ký thi công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Kiểm tra và giám sát thường xuyên có hệ thống quá trình Nhà thầu thi công xây dựng công trình triển khai các công việc 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CL09</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Kiểm tra, xác nhận bản vẽ hoàn công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Xác nhận bản vẽ hoàn công.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CL10</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Nghiệm thu công việc xây dựng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Nghiệm thu công việc xây dựng (Điều 21 Nghị định 06/2021/CP ngày 26/1/2021 của Chính phủ)</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Nghiệm thu bộ phận, giai đoạn thi công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Nghiệm thu bộ phận công trình xây dựng, giai đoạn thi công (điều 22 Nghị định 06/2021/NĐ-CP)</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Nghiệm thu hoàn thành hạng mục, công trình đưa vào sử dụng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Nghiệm thu hoàn thành hạng mục công trình, công trình xây dựng đưa vào sử dụng (Điều 23 Nghị định 06/2021/CP ngày 26/1/2</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Hồ sơ nghiệm thu, tài liệu hoàn thành công trình</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Tài liệu phục vụ nghiệm thu hạng mục công trình, công trình xây dựng đưa vào sử dụng theo quy định trong Nghị định số 06</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Phát hiện sai sót, bất hợp lý của thiết kế</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Phát hiện sai sót, bất hợp lý về thiết kế kiến nghị Chủ đầu tư yêu cầu Tư vấn thiết kế điều chỉnh:</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CL15</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Đề nghị kiểm định lại khi nghi ngờ chất lượng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Đề nghị Chủ đầu tư tổ chức kiểm định lại chất lượng bộ phận công trình, hạng mục công trình và công trình xây dựng khi c</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CL16</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Phối hợp giải quyết vướng mắc, phát sinh</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Phối hợp với các bên liên quan giải quyết những vướng mắc, phát sinh trong thi công xây dựng công trình.</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CL17</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Sơ đồ/lưu đồ quy trình quản lý chất lượng, quy trình nghiệm thu</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SƠ ĐỒ QUY TRÌNH QUẢN LÝ CHẤT LƯỢNG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CL18</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Quy trình xử lý không phù hợp (NCR)</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chưa thành mục – Nhắc 7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CL19</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Quản lý thay đổi thiết kế, RFI, xung đột bộ môn</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6.</w:t>
              <w:tab/>
              <w:t>Thống kê các thay đổi thiết kế trên công trường trong kỳ báo cáo</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CL20</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Kế hoạch nghiệm thu / kế hoạch kiểm tra (ITP)</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4.</w:t>
              <w:tab/>
              <w:t>Thống kê các công tác thí nghiệm được thực hiện trong kỳ báo cáo. Số lượng các kết quả thí nghiệm đối với từng loại 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CL21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Giám sát chạy thử, vận hành thử thiết bị</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Giám sát và nghiệm thu vận hành chạy thử</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Giám sát khối lượng</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KL01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Nguyên tắc giám sát, xác nhận khối lượng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Giám sát khối lượng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KL02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Khối lượng phát sinh so với thiết kế</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Khối lượng phát sinh so với hồ sơ TK:</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KL03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Khối lượng sửa đổi, khối lượng thi công khác</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Khối lượng sửa đổi so với hồ sơ TK.</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KL04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Quy trình, thời hạn xác nhận khối lượng; lưu ý khi tính khối lượng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Sơ đồ quy trình quản lý khối lượng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Giám sát tiến độ</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TD01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Giám sát tiến độ thi công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Giám sát tiến độ thi công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TD02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Biện pháp khắc phục chậm tiến độ, đẩy nhanh tiến độ</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Biện pháp quản lý và đẩy nhanh tiến độ thi công công trình:</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TD03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Cập nhật tiến độ định kỳ, cảnh báo sớm nguy cơ chậm</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Thu thập số liệu tiến độ thi công thực tế thông qua các công việc sau: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Giám sát ATLĐ, VSMT, PCCC</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AT01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Giám sát an toàn lao động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Giám sát an toàn lao động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AT02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Giám sát vệ sinh môi trường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Giám sát vệ sinh môi trường, phòng chống cháy nổ</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AT03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Giám sát phòng cháy chữa cháy, phòng chống cháy nổ</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Phương tiện, trang thiết bị PCCC cần được trang bị trên công trường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AT04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Kế hoạch quản lý an toàn: nhận diện mối nguy, đánh giá rủi ro, biện pháp kiểm soát</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Các biện pháp cụ thể trong quản lý an toàn vệ sinh lao động trên công trường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AT05</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Ứng phó tình huống khẩn cấp, quy trình đình chỉ thi công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Quy định về ứng phó với tình huống khẩn cấp</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Báo cáo, họp, trao đổi thông tin</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BC01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Chế độ báo cáo (tuần, tháng, giai đoạn, hoàn thành, sự cố)</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Chế độ báo cáo và tổ chức các cuộc họp:</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BC02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Thời hạn nộp báo cáo</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3.1   Báo cáo, tiến độ nộp báo cáo:</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BC03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Tổ chức các cuộc họp, giao ban</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Chế độ báo cáo và tổ chức các cuộc họp:</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BC04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Trao đổi thông tin, quản lý hồ sơ – tài liệu, thời hạn xử lý hồ sơ</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3.3.      Trao đổi thông tin giữa TVGS và CĐT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Tổ chức thực hiện đoàn TVGS</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TO01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Tổ chức thực hiện – nguyên tắc chung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Giám sát việc lập kế hoạch, phổ biến và tổ chức thực hiện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TO02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Mô hình, sơ đồ tổ chức đoàn TVGS</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Mô hình đoàn tư vấn giám sát.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TO03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Nhiệm vụ của TVGS trưởng và các kỹ sư giám sát</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Giám sát trưởng: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TO04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Quan hệ của đoàn TVGS với Công ty, nội bộ và các bên</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Quan hệ của đoàn tvgs với các đơn vị, công ty:</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TO05</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Phân công / phân cấp trách nhiệm ký hồ sơ sản phẩm TVGS</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bảng phân cấp trách nhiệm ký hồ sơ sản phẩm TVGS</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TO06</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Ma trận trách nhiệm phối hợp các bên</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Thiếu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45911"/>
                <w:sz w:val="17"/>
              </w:rPr>
              <w:t>Nên xử lý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TO07</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Kế hoạch điều động, đánh giá, đào tạo nhân sự đoàn</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biện pháp huy động nhân sự trong tình huống đột xuất.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TO08</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Hệ thống đảm bảo chất lượng công tác giám sát (ISO 9001, kiểm soát nội bộ)</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Ứng dụng quy trình Quản lý chất lượng ISO 9001:2015</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TO09</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Biện pháp phòng ngừa sai sót</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Thiếu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45911"/>
                <w:sz w:val="17"/>
              </w:rPr>
              <w:t>Nên xử lý</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Đề cương giám sát chi tiết, biểu mẫu</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CT01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phần đề cương giám sát chi tiết theo từng công tác/hạng mục</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ĐỀ CƯƠNG GIÁM SÁT CHI TIẾT CÔNG TÁC CHÍNH</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CT02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Tiêu chuẩn được viện dẫn cho từng công tác (≥ 10 lượt TCVN/QCVN)</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228 lượt viện dẫn TCVN/QCVN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CT03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Biểu mẫu hồ sơ (hoặc dẫn chiếu biểu mẫu dự án)</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chưa thành mục – Nhắc 51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45911"/>
                <w:sz w:val="17"/>
              </w:rPr>
              <w:t>Nên xử lý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CT04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Phiếu/bảng kiểm tra chi tiết (công việc kiểm tra – căn cứ – đánh giá) và sai số cho phép</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chưa thành mục – Nhắc 3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bl>
    <w:p>
      <w:pPr>
        <w:keepNext/>
        <w:spacing w:before="280" w:after="140" w:line="276" w:lineRule="auto"/>
        <w:jc w:val="left"/>
        <w:pBdr>
          <w:bottom w:val="single" w:sz="8" w:space="2" w:color="2E5496"/>
        </w:pBdr>
      </w:pPr>
      <w:r>
        <w:rPr>
          <w:rFonts w:ascii="Times New Roman" w:hAnsi="Times New Roman" w:cs="Times New Roman" w:eastAsia="Times New Roman"/>
          <w:b/>
          <w:i w:val="0"/>
          <w:color w:val="1F3864"/>
          <w:sz w:val="28"/>
        </w:rPr>
        <w:t>3. Hạng mục công tác – đề cương chi tiết</w:t>
      </w:r>
    </w:p>
    <w:tbl>
      <w:tblPr>
        <w:jc w:val="center"/>
        <w:tblLayout w:type="fixed"/>
        <w:tblLook w:firstColumn="1" w:firstRow="1" w:lastColumn="0" w:lastRow="0" w:noHBand="0" w:noVBand="1" w:val="04A0"/>
        <w:tblLayout w:type="fixed"/>
        <w:tblW w:w="9026" w:type="dxa"/>
      </w:tblPr>
      <w:tblGrid>
        <w:gridCol w:w="2800"/>
        <w:gridCol w:w="1250"/>
        <w:gridCol w:w="2700"/>
        <w:gridCol w:w="1026"/>
        <w:gridCol w:w="1250"/>
      </w:tblGrid>
      <w:tr>
        <w:trPr>
          <w:cantSplit w:val="true"/>
          <w:tblHeader w:val="true"/>
        </w:trPr>
        <w:tc>
          <w:tcPr>
            <w:tcW w:type="dxa" w:w="28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Hạng mục</w:t>
            </w:r>
          </w:p>
        </w:tc>
        <w:tc>
          <w:tcPr>
            <w:tcW w:type="dxa" w:w="12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Nhóm</w:t>
            </w:r>
          </w:p>
        </w:tc>
        <w:tc>
          <w:tcPr>
            <w:tcW w:type="dxa" w:w="27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Hiện trạng / mục tìm thấy</w:t>
            </w:r>
          </w:p>
        </w:tc>
        <w:tc>
          <w:tcPr>
            <w:tcW w:type="dxa" w:w="1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Cần có</w:t>
            </w:r>
          </w:p>
        </w:tc>
        <w:tc>
          <w:tcPr>
            <w:tcW w:type="dxa" w:w="12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Mức độ</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Kiểm tra sự phù hợp năng lực của nhà thầu thi công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Chung</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mục giám sát chi tiết: kiểm tra sự phù hợp năng lực của nhà thầu thi công xây dựng với hồ sơ dự thầu và hợp đồng xây dựng</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vật liệu, thiết bị, sản phẩm chế tạo sẵn lắp đặt vào công trình</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Chung</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mục giám sát chi tiết: Kiểm tra và giám sát chất lượng vật tư, vật liệu và thiết bị lắp đặt vào công trình do Nhà thầu thi công xây d</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công tác trắc địa</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Chung</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mục giám sát chi tiết: Giám sát công tác trắc địa</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thi công ép cọc (đóng, ép cọc BTCT)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Nền móng</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công tác thí nghiệm cọc</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Nền móng</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thi công phần móng (đào đất, bê tông lót, móng, lấp đất)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Nền móng</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mục giám sát chi tiết: Giám sát phần móng.</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đào đất, hệ chống và kết cấu tầng hầm</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Nền móng</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kết cấu bê tông cốt thép toàn khối (cốp pha, cốt thép, bê tông)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Kết cấu</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mục giám sát chi tiết: Giám sát hạng mục kết cấu bê tông cốt thép toàn khối</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thi công cáp dự ứng lực</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Kết cấu</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gia công, lắp dựng kết cấu thép</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Kết cấu</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thi công chống thấm</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Hoàn thiện</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mục giám sát chi tiết: Giám sát thi công chống thấm</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xây, trát, ốp, lát, láng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Hoàn thiện</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mục giám sát chi tiết: Giám sát hạng mục hoàn thiện: xây, trát, ốp, lát, láng</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lắp đặt cửa, vách nhôm kính, cửa nhựa</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Hoàn thiện</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mục giám sát chi tiết: Giám sát lắp đặt hệ cửa nhôm kính, cửa nhựa</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gia công, lắp đặt cửa gỗ</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Hoàn thiện</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mục giám sát chi tiết: Giám sát gia công và lắp đặt cửa gỗ</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lắp đặt cửa thép chống cháy</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Hoàn thiện</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mục giám sát chi tiết: Giám sát lắp đặt cửa thép chống cháy</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thi công sơn, bả</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Hoàn thiện</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mục giám sát chi tiết: Giám sát hạng mục thi công sơn bả</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thi công trần, vách thạch cao</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Hoàn thiện</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mục giám sát chi tiết: Giám sát thi công trần thạch cao</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công tác phòng chống mối</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Hoàn thiện</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mục giám sát chi tiết: Giám sát công tác chống mối</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lắp đặt thiết bị vệ sinh</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Hoàn thiện</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thi công hệ thống cơ điện – phần chung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Cơ điện (MEP)</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mục giám sát chi tiết: Giám sát thi công hệ thống cơ điện – phần chung</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lắp đặt ống luồn dây điện âm tường, âm sàn, đi nổi</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Cơ điện (MEP)</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mục giám sát chi tiết: Giám sát lắp đặt ống điện âm tường, âm sàn, đi nổi</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rãnh cáp, ống bảo vệ cáp chôn ngầm</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Cơ điện (MEP)</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mục giám sát chi tiết: Giám sát rãnh cáp, ống luồn dây bảo vệ cáp chôn ngầm</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lắp đặt thang, máng cáp, trunking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Cơ điện (MEP)</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mục giám sát chi tiết: giám sát lắp đặt thang, máng cáp, Trungking</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kéo rải dây, cáp điện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Cơ điện (MEP)</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mục giám sát chi tiết: Giám sát kéo rải cáp điện</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lắp đặt thiết bị điện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Cơ điện (MEP)</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mục giám sát chi tiết: Giám sát lắp đặt thiết bị điện</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lắp đặt máy phát điện dự phòng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Cơ điện (MEP)</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mục giám sát chi tiết: Giám sát lắp đặt máy phát điện dự phòng</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lắp đặt hệ thống chống sét, tiếp địa</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Cơ điện (MEP)</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mục giám sát chi tiết: Giám sát lắp đặt hệ thống chống sét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lắp đặt trạm biến áp</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Cơ điện (MEP)</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mục giám sát chi tiết: Giám sát lắp đặt trạm biến áp</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lắp đặt hệ thống chiếu sáng ngoài nhà</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Cơ điện (MEP)</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mục giám sát chi tiết: Giám sát lắp đặt hệ thống chiếu sáng ngoài nhà</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lắp đặt hệ thống cấp thoát nước</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Cơ điện (MEP)</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mục giám sát chi tiết: Giám sát lắp đặt hệ thống cấp thoát nước</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lắp đặt hệ thống thông gió, điều hòa không khí</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Cơ điện (MEP)</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mục giám sát chi tiết: Giám sát lắp đặt hệ thống thông gió, điều hoà không khí</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thi công hệ thống phòng cháy chữa cháy</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Cơ điện (MEP)</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mục giám sát chi tiết: Giám sát thi công hệ thống phòng cháy chữa cháy</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hệ thống điện nhẹ: camera, truyền hình, loa, điện thoại, mạng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Cơ điện (MEP)</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mục giám sát chi tiết: Giám sát thi công hệ thống camera quan sát, truyền hình, loa thông báo, điện thoại, mạng internet.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lắp đặt thang máy</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Cơ điện (MEP)</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mục giám sát chi tiết: Giám sát lắp đặt thang máy</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hệ thống kiểm soát xe tự động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Cơ điện (MEP)</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Không có</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00000"/>
                <w:sz w:val="17"/>
              </w:rPr>
              <w:t>Phải xử lý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lắp đặt hệ thống xử lý nước thải</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Cơ điện (MEP)</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45911"/>
                <w:sz w:val="17"/>
              </w:rPr>
              <w:t>Nên xử lý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thi công hạ tầng kỹ thuật, đường giao thông, sân đường nội bộ</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Hạ tầng</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45911"/>
                <w:sz w:val="17"/>
              </w:rPr>
              <w:t>Nên xử lý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thi công cảnh quan, cây xanh</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Hạ tầng</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45911"/>
                <w:sz w:val="17"/>
              </w:rPr>
              <w:t>Nên xử lý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thi công trắc đạc, quan trắc (gói chuyên đề)</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Chuyên đề</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công tác đất: hố đào, hạ mực nước ngầm, đắp – lấp hoàn trả, san nền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Nền móng</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điện động lực, điều khiển, đo lường (MCC, PLC/SCADA, loop test)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Công trình xử lý nước thải</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an toàn hóa chất, không gian hạn chế, nâng hạ thiết bị</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Công trình xử lý nước thải</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mục giám sát chi tiết: Lựa chọn và sử dụng hiệu quả vật liệu hoàn thiện mặt nền, tường: Xem xét các vị trí không cần thiết phải sử dụ</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chạy thử, commissioning và vận hành thử công nghệ</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Công trình xử lý nước thải</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chạy thử, nghiệm thu và bàn giao đưa công trình vào sử dụng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Chung</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mục giám sát chi tiết: Giám sát và nghiệm thu vận hành chạy thử</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an toàn lao động, PCCC, vệ sinh môi trường tại hiện trường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Chung</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mục giám sát chi tiết: Giám sát an toàn lao động</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quan trắc lún, nghiêng, chuyển vị và kiểm định kết cấu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Chuyên đề</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45911"/>
                <w:sz w:val="17"/>
              </w:rPr>
              <w:t>Nên xử lý</w:t>
            </w:r>
          </w:p>
        </w:tc>
      </w:tr>
    </w:tbl>
    <w:p>
      <w:pPr>
        <w:keepNext/>
        <w:spacing w:before="280" w:after="140" w:line="276" w:lineRule="auto"/>
        <w:jc w:val="left"/>
        <w:pBdr>
          <w:bottom w:val="single" w:sz="8" w:space="2" w:color="2E5496"/>
        </w:pBdr>
      </w:pPr>
      <w:r>
        <w:rPr>
          <w:rFonts w:ascii="Times New Roman" w:hAnsi="Times New Roman" w:cs="Times New Roman" w:eastAsia="Times New Roman"/>
          <w:b/>
          <w:i w:val="0"/>
          <w:color w:val="1F3864"/>
          <w:sz w:val="28"/>
        </w:rPr>
        <w:t>4. Căn cứ pháp lý</w:t>
      </w:r>
    </w:p>
    <w:p>
      <w:pPr>
        <w:keepNext w:val="0"/>
        <w:spacing w:before="0" w:after="120" w:line="276" w:lineRule="auto"/>
        <w:jc w:val="both"/>
      </w:pPr>
      <w:r>
        <w:rPr>
          <w:rFonts w:ascii="Times New Roman" w:hAnsi="Times New Roman" w:cs="Times New Roman" w:eastAsia="Times New Roman"/>
          <w:b w:val="0"/>
          <w:i w:val="0"/>
          <w:sz w:val="22"/>
        </w:rPr>
        <w:t>Văn bản mới đã viện dẫn: Luật XD 135/2025 ✗, NĐ 207/2026 ✗, TT 32/2026 ✗, NĐ 217/2026 / 212/2026 ✗</w:t>
      </w:r>
    </w:p>
    <w:tbl>
      <w:tblPr>
        <w:jc w:val="center"/>
        <w:tblLayout w:type="fixed"/>
        <w:tblLook w:firstColumn="1" w:firstRow="1" w:lastColumn="0" w:lastRow="0" w:noHBand="0" w:noVBand="1" w:val="04A0"/>
        <w:tblLayout w:type="fixed"/>
        <w:tblW w:w="9026" w:type="dxa"/>
      </w:tblPr>
      <w:tblGrid>
        <w:gridCol w:w="2600"/>
        <w:gridCol w:w="650"/>
        <w:gridCol w:w="4526"/>
        <w:gridCol w:w="1250"/>
      </w:tblGrid>
      <w:tr>
        <w:trPr>
          <w:cantSplit w:val="true"/>
          <w:tblHeader w:val="true"/>
        </w:trPr>
        <w:tc>
          <w:tcPr>
            <w:tcW w:type="dxa" w:w="26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Văn bản</w:t>
            </w:r>
          </w:p>
        </w:tc>
        <w:tc>
          <w:tcPr>
            <w:tcW w:type="dxa" w:w="6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Số lần</w:t>
            </w:r>
          </w:p>
        </w:tc>
        <w:tc>
          <w:tcPr>
            <w:tcW w:type="dxa" w:w="45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Đề xuất</w:t>
            </w:r>
          </w:p>
        </w:tc>
        <w:tc>
          <w:tcPr>
            <w:tcW w:type="dxa" w:w="12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Mức độ</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Luật Xây dựng 50/2014/QH13</w:t>
            </w:r>
          </w:p>
        </w:tc>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val="0"/>
                <w:i w:val="0"/>
                <w:sz w:val="19"/>
              </w:rPr>
              <w:t>1</w:t>
            </w:r>
          </w:p>
        </w:tc>
        <w:tc>
          <w:tcPr>
            <w:tcW w:type="dxa" w:w="45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Thay bằng Luật Xây dựng số 135/2025/QH15 (hiệu lực 01/7/2026)</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00000"/>
                <w:sz w:val="18"/>
              </w:rPr>
              <w:t>Phải xử lý</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Luật sửa đổi Luật Xây dựng 62/2020/QH14</w:t>
            </w:r>
          </w:p>
        </w:tc>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F7F9FC"/>
          </w:tcPr>
          <w:p>
            <w:pPr>
              <w:spacing w:after="30" w:before="0" w:line="264" w:lineRule="auto"/>
              <w:jc w:val="center"/>
            </w:pPr>
            <w:r>
              <w:rPr>
                <w:rFonts w:ascii="Times New Roman" w:hAnsi="Times New Roman" w:cs="Times New Roman" w:eastAsia="Times New Roman"/>
                <w:b w:val="0"/>
                <w:i w:val="0"/>
                <w:sz w:val="19"/>
              </w:rPr>
              <w:t>1</w:t>
            </w:r>
          </w:p>
        </w:tc>
        <w:tc>
          <w:tcPr>
            <w:tcW w:type="dxa" w:w="45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Thay bằng Luật Xây dựng số 135/2025/QH15</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00000"/>
                <w:sz w:val="18"/>
              </w:rPr>
              <w:t>Phải xử lý</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Nghị định 06/2021/NĐ-CP</w:t>
            </w:r>
          </w:p>
        </w:tc>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val="0"/>
                <w:i w:val="0"/>
                <w:sz w:val="19"/>
              </w:rPr>
              <w:t>18</w:t>
            </w:r>
          </w:p>
        </w:tc>
        <w:tc>
          <w:tcPr>
            <w:tcW w:type="dxa" w:w="45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Thay bằng Nghị định số 207/2026/NĐ-CP (hiệu lực 01/7/2026)</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00000"/>
                <w:sz w:val="18"/>
              </w:rPr>
              <w:t>Phải xử lý</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Thông tư 10/2021/TT-BXD</w:t>
            </w:r>
          </w:p>
        </w:tc>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F7F9FC"/>
          </w:tcPr>
          <w:p>
            <w:pPr>
              <w:spacing w:after="30" w:before="0" w:line="264" w:lineRule="auto"/>
              <w:jc w:val="center"/>
            </w:pPr>
            <w:r>
              <w:rPr>
                <w:rFonts w:ascii="Times New Roman" w:hAnsi="Times New Roman" w:cs="Times New Roman" w:eastAsia="Times New Roman"/>
                <w:b w:val="0"/>
                <w:i w:val="0"/>
                <w:sz w:val="19"/>
              </w:rPr>
              <w:t>4</w:t>
            </w:r>
          </w:p>
        </w:tc>
        <w:tc>
          <w:tcPr>
            <w:tcW w:type="dxa" w:w="45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Thay bằng Thông tư số 32/2026/TT-BXD</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00000"/>
                <w:sz w:val="18"/>
              </w:rPr>
              <w:t>Phải xử lý</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Nghị định 175/2024/NĐ-CP</w:t>
            </w:r>
          </w:p>
        </w:tc>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val="0"/>
                <w:i w:val="0"/>
                <w:sz w:val="19"/>
              </w:rPr>
              <w:t>3</w:t>
            </w:r>
          </w:p>
        </w:tc>
        <w:tc>
          <w:tcPr>
            <w:tcW w:type="dxa" w:w="45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Thay bằng Nghị định số 217/2026/NĐ-CP (quản lý hoạt động xây dựng) và Nghị định số 212/2026/NĐ-CP (điều kiện năng lực)</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00000"/>
                <w:sz w:val="18"/>
              </w:rPr>
              <w:t>Phải xử lý</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Nghị định 46/2015/NĐ-CP</w:t>
            </w:r>
          </w:p>
        </w:tc>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F7F9FC"/>
          </w:tcPr>
          <w:p>
            <w:pPr>
              <w:spacing w:after="30" w:before="0" w:line="264" w:lineRule="auto"/>
              <w:jc w:val="center"/>
            </w:pPr>
            <w:r>
              <w:rPr>
                <w:rFonts w:ascii="Times New Roman" w:hAnsi="Times New Roman" w:cs="Times New Roman" w:eastAsia="Times New Roman"/>
                <w:b w:val="0"/>
                <w:i w:val="0"/>
                <w:sz w:val="19"/>
              </w:rPr>
              <w:t>2</w:t>
            </w:r>
          </w:p>
        </w:tc>
        <w:tc>
          <w:tcPr>
            <w:tcW w:type="dxa" w:w="45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Thay bằng Nghị định số 207/2026/NĐ-CP</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00000"/>
                <w:sz w:val="18"/>
              </w:rPr>
              <w:t>Phải xử lý</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Thông tư 149/2020/TT-BCA (PCCC)</w:t>
            </w:r>
          </w:p>
        </w:tc>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val="0"/>
                <w:i w:val="0"/>
                <w:sz w:val="19"/>
              </w:rPr>
              <w:t>1</w:t>
            </w:r>
          </w:p>
        </w:tc>
        <w:tc>
          <w:tcPr>
            <w:tcW w:type="dxa" w:w="45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Thay bằng Thông tư số 36/2025/TT-BCA</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00000"/>
                <w:sz w:val="18"/>
              </w:rPr>
              <w:t>Phải xử lý</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Nghị định 50/2024/NĐ-CP (sửa NĐ 136/2020)</w:t>
            </w:r>
          </w:p>
        </w:tc>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F7F9FC"/>
          </w:tcPr>
          <w:p>
            <w:pPr>
              <w:spacing w:after="30" w:before="0" w:line="264" w:lineRule="auto"/>
              <w:jc w:val="center"/>
            </w:pPr>
            <w:r>
              <w:rPr>
                <w:rFonts w:ascii="Times New Roman" w:hAnsi="Times New Roman" w:cs="Times New Roman" w:eastAsia="Times New Roman"/>
                <w:b w:val="0"/>
                <w:i w:val="0"/>
                <w:sz w:val="19"/>
              </w:rPr>
              <w:t>8</w:t>
            </w:r>
          </w:p>
        </w:tc>
        <w:tc>
          <w:tcPr>
            <w:tcW w:type="dxa" w:w="45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Thay bằng Nghị định số 105/2025/NĐ-CP (sửa đổi bởi NĐ 347/2026/NĐ-CP)</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00000"/>
                <w:sz w:val="18"/>
              </w:rPr>
              <w:t>Phải xử lý</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Nghị định 62/2016/NĐ-CP (điều kiện hoạt động thí nghiệm)</w:t>
            </w:r>
          </w:p>
        </w:tc>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val="0"/>
                <w:i w:val="0"/>
                <w:sz w:val="19"/>
              </w:rPr>
              <w:t>3</w:t>
            </w:r>
          </w:p>
        </w:tc>
        <w:tc>
          <w:tcPr>
            <w:tcW w:type="dxa" w:w="45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Kiểm tra văn bản thay thế theo hệ thống văn bản 2026</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2E5496"/>
                <w:sz w:val="18"/>
              </w:rPr>
              <w:t>Lưu ý</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TCVN 4453:1995</w:t>
            </w:r>
          </w:p>
        </w:tc>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F7F9FC"/>
          </w:tcPr>
          <w:p>
            <w:pPr>
              <w:spacing w:after="30" w:before="0" w:line="264" w:lineRule="auto"/>
              <w:jc w:val="center"/>
            </w:pPr>
            <w:r>
              <w:rPr>
                <w:rFonts w:ascii="Times New Roman" w:hAnsi="Times New Roman" w:cs="Times New Roman" w:eastAsia="Times New Roman"/>
                <w:b w:val="0"/>
                <w:i w:val="0"/>
                <w:sz w:val="19"/>
              </w:rPr>
              <w:t>26</w:t>
            </w:r>
          </w:p>
        </w:tc>
        <w:tc>
          <w:tcPr>
            <w:tcW w:type="dxa" w:w="45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Tiêu chuẩn ban hành đã lâu – đối chiếu danh mục tiêu chuẩn dự án và tiêu chuẩn thay thế (nếu có)</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2E5496"/>
                <w:sz w:val="18"/>
              </w:rPr>
              <w:t>Lưu ý</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TCVN 4091:1985</w:t>
            </w:r>
          </w:p>
        </w:tc>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val="0"/>
                <w:i w:val="0"/>
                <w:sz w:val="19"/>
              </w:rPr>
              <w:t>1</w:t>
            </w:r>
          </w:p>
        </w:tc>
        <w:tc>
          <w:tcPr>
            <w:tcW w:type="dxa" w:w="45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Tiêu chuẩn ban hành đã lâu – đối chiếu danh mục tiêu chuẩn dự án và tiêu chuẩn thay thế (nếu có)</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2E5496"/>
                <w:sz w:val="18"/>
              </w:rPr>
              <w:t>Lưu ý</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Thông tư 53/2016/TT-BLĐTBXH</w:t>
            </w:r>
          </w:p>
        </w:tc>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F7F9FC"/>
          </w:tcPr>
          <w:p>
            <w:pPr>
              <w:spacing w:after="30" w:before="0" w:line="264" w:lineRule="auto"/>
              <w:jc w:val="center"/>
            </w:pPr>
            <w:r>
              <w:rPr>
                <w:rFonts w:ascii="Times New Roman" w:hAnsi="Times New Roman" w:cs="Times New Roman" w:eastAsia="Times New Roman"/>
                <w:b w:val="0"/>
                <w:i w:val="0"/>
                <w:sz w:val="19"/>
              </w:rPr>
              <w:t>2</w:t>
            </w:r>
          </w:p>
        </w:tc>
        <w:tc>
          <w:tcPr>
            <w:tcW w:type="dxa" w:w="45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Danh mục máy, thiết bị có yêu cầu nghiêm ngặt về ATLĐ – đối chiếu văn bản thay thế hiện hành</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2E5496"/>
                <w:sz w:val="18"/>
              </w:rPr>
              <w:t>Lưu ý</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Thông tư liên tịch 21/2013/TTLT</w:t>
            </w:r>
          </w:p>
        </w:tc>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val="0"/>
                <w:i w:val="0"/>
                <w:sz w:val="19"/>
              </w:rPr>
              <w:t>1</w:t>
            </w:r>
          </w:p>
        </w:tc>
        <w:tc>
          <w:tcPr>
            <w:tcW w:type="dxa" w:w="45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Kiểm tra hiệu lực</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2E5496"/>
                <w:sz w:val="18"/>
              </w:rPr>
              <w:t>Lưu ý</w:t>
            </w:r>
          </w:p>
        </w:tc>
      </w:tr>
    </w:tbl>
    <w:p>
      <w:pPr>
        <w:keepNext w:val="0"/>
        <w:spacing w:before="0" w:after="120" w:line="276" w:lineRule="auto"/>
        <w:jc w:val="both"/>
      </w:pPr>
      <w:r>
        <w:rPr>
          <w:rFonts w:ascii="Times New Roman" w:hAnsi="Times New Roman" w:cs="Times New Roman" w:eastAsia="Times New Roman"/>
          <w:b/>
          <w:i w:val="0"/>
          <w:color w:val="C00000"/>
          <w:sz w:val="20"/>
        </w:rPr>
        <w:t>Công cụ này chỉ dò theo danh mục văn bản theo dõi (cập nhật 2026-10-23). Bắt buộc rà soát toàn bộ văn bản pháp luật, tiêu chuẩn viện dẫn bằng công cụ TEXO Legal Reviewer trước khi trình ký để bảo đảm dùng phiên bản mới nhất.</w:t>
      </w:r>
    </w:p>
    <w:p>
      <w:pPr>
        <w:keepNext/>
        <w:spacing w:before="280" w:after="140" w:line="276" w:lineRule="auto"/>
        <w:jc w:val="left"/>
        <w:pBdr>
          <w:bottom w:val="single" w:sz="8" w:space="2" w:color="2E5496"/>
        </w:pBdr>
      </w:pPr>
      <w:r>
        <w:rPr>
          <w:rFonts w:ascii="Times New Roman" w:hAnsi="Times New Roman" w:cs="Times New Roman" w:eastAsia="Times New Roman"/>
          <w:b/>
          <w:i w:val="0"/>
          <w:color w:val="1F3864"/>
          <w:sz w:val="28"/>
        </w:rPr>
        <w:t>5. Trình bày, thông tin dự án</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Nội dung</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Kết quả</w:t>
            </w:r>
          </w:p>
        </w:tc>
      </w:tr>
      <w:tr>
        <w:trPr>
          <w:cantSplit w:val="true"/>
        </w:trP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Quy mô tài liệu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85.846 từ · 320 tiêu đề · 145 bảng · 66 hình/sơ đồ</w:t>
            </w:r>
          </w:p>
        </w:tc>
      </w:tr>
      <w:tr>
        <w:trPr>
          <w:cantSplit w:val="true"/>
        </w:trP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Tên dự án tìm thấy</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ĐẦU TƯ XÂY DỰNG VÀ KINH DOANH DỊCH VỤ CUNG CẤP SUẤT ĂN HÀNG KHÔNG SỐ 2</w:t>
            </w:r>
          </w:p>
        </w:tc>
      </w:tr>
      <w:tr>
        <w:trPr>
          <w:cantSplit w:val="true"/>
        </w:trP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Chủ đầu tư tìm thấy</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CÔNG TY TNHH SUẤT ĂN HÀNG KHÔNG VINACS LONG THÀNH</w:t>
            </w:r>
          </w:p>
        </w:tc>
      </w:tr>
      <w:tr>
        <w:trPr>
          <w:cantSplit w:val="true"/>
        </w:trP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Nghi lẫn tên dự án/CĐT khác</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Không</w:t>
            </w:r>
          </w:p>
        </w:tc>
      </w:tr>
      <w:tr>
        <w:trPr>
          <w:cantSplit w:val="true"/>
        </w:trP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Chỗ trống chờ điền</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19 vị trí: Mẫu 1 &lt;Tên Đơn vị&gt; TƯ VẤN GIÁM SÁT | CHỦ ĐẦU TƯ</w:t>
              <w:tab/>
              <w:t>: …………………………………………………………………. | CHỦ ĐẦU TƯ</w:t>
              <w:tab/>
              <w:t>: …………………………………………………………………. | chỉ năng lực hoạt động xây dựng số BXD-……… được Cục Quản lý hoạt động xâ | …………………………………………………………………………………………………………………………………………………………………………………… | tiến độ (nếu có) 1 Nhà thầu 1 Đạt/ Chậm ……………………………………….. ……………………………………….. 2 Nhà thầ</w:t>
            </w:r>
          </w:p>
        </w:tc>
      </w:tr>
    </w:tbl>
    <w:p>
      <w:pPr>
        <w:keepNext w:val="0"/>
        <w:spacing w:before="0" w:after="200" w:line="276" w:lineRule="auto"/>
        <w:jc w:val="both"/>
      </w:pPr>
    </w:p>
    <w:tbl>
      <w:tblPr>
        <w:jc w:val="center"/>
        <w:tblLayout w:type="fixed"/>
        <w:tblLook w:firstColumn="1" w:firstRow="1" w:lastColumn="0" w:lastRow="0" w:noHBand="0" w:noVBand="1" w:val="04A0"/>
        <w:tblLayout w:type="fixed"/>
        <w:tblW w:w="9026" w:type="dxa"/>
      </w:tblPr>
      <w:tblGrid>
        <w:gridCol w:w="3249"/>
        <w:gridCol w:w="5777"/>
      </w:tblGrid>
      <w:tr>
        <w:trPr>
          <w:cantSplit w:val="true"/>
        </w:trPr>
        <w:tc>
          <w:tcPr>
            <w:tcW w:type="dxa" w:w="3249"/>
            <w:vMerge w:val="restart"/>
            <w:tcBorders>
              <w:top w:val="nil"/>
              <w:left w:val="nil"/>
              <w:bottom w:val="nil"/>
              <w:right w:val="nil"/>
            </w:tcBorders>
            <w:tcMar>
              <w:top w:w="0" w:type="dxa"/>
              <w:left w:w="100" w:type="dxa"/>
              <w:bottom w:w="0" w:type="dxa"/>
              <w:right w:w="100" w:type="dxa"/>
            </w:tcMar>
          </w:tcPr>
          <w:p>
            <w:pPr>
              <w:spacing w:after="30" w:before="0" w:line="264" w:lineRule="auto"/>
              <w:jc w:val="left"/>
            </w:pPr>
            <w:r>
              <w:rPr>
                <w:rFonts w:ascii="Times New Roman" w:hAnsi="Times New Roman" w:cs="Times New Roman" w:eastAsia="Times New Roman"/>
                <w:b/>
                <w:i/>
                <w:sz w:val="22"/>
              </w:rPr>
              <w:t>Nơi nhận:</w:t>
            </w:r>
          </w:p>
          <w:p>
            <w:pPr>
              <w:spacing w:after="30" w:before="0" w:line="264" w:lineRule="auto"/>
              <w:jc w:val="left"/>
            </w:pPr>
            <w:r>
              <w:rPr>
                <w:rFonts w:ascii="Times New Roman" w:hAnsi="Times New Roman" w:cs="Times New Roman" w:eastAsia="Times New Roman"/>
                <w:b w:val="0"/>
                <w:i w:val="0"/>
                <w:sz w:val="20"/>
              </w:rPr>
              <w:t>- Trung tâm lập đề cương</w:t>
            </w:r>
          </w:p>
          <w:p>
            <w:pPr>
              <w:spacing w:after="30" w:before="0" w:line="264" w:lineRule="auto"/>
              <w:jc w:val="left"/>
            </w:pPr>
            <w:r>
              <w:rPr>
                <w:rFonts w:ascii="Times New Roman" w:hAnsi="Times New Roman" w:cs="Times New Roman" w:eastAsia="Times New Roman"/>
                <w:b w:val="0"/>
                <w:i w:val="0"/>
                <w:sz w:val="20"/>
              </w:rPr>
              <w:t>- Lưu P.KT</w:t>
            </w:r>
          </w:p>
        </w:tc>
        <w:tc>
          <w:tcPr>
            <w:tcW w:type="dxa" w:w="5777"/>
            <w:tcBorders>
              <w:top w:val="nil"/>
              <w:left w:val="nil"/>
              <w:bottom w:val="nil"/>
              <w:right w:val="nil"/>
            </w:tcBorders>
            <w:tcMar>
              <w:top w:w="0" w:type="dxa"/>
              <w:left w:w="100" w:type="dxa"/>
              <w:bottom w:w="0" w:type="dxa"/>
              <w:right w:w="100" w:type="dxa"/>
            </w:tcMar>
          </w:tcPr>
          <w:p>
            <w:pPr>
              <w:spacing w:after="80" w:before="0" w:line="264" w:lineRule="auto"/>
              <w:jc w:val="center"/>
            </w:pPr>
            <w:r>
              <w:rPr>
                <w:rFonts w:ascii="Times New Roman" w:hAnsi="Times New Roman" w:cs="Times New Roman" w:eastAsia="Times New Roman"/>
                <w:b w:val="0"/>
                <w:i/>
                <w:sz w:val="22"/>
              </w:rPr>
              <w:t>Hà Nội, ngày 23 tháng 10 năm 2026</w:t>
            </w:r>
          </w:p>
        </w:tc>
      </w:tr>
      <w:tr>
        <w:trPr>
          <w:cantSplit w:val="true"/>
        </w:trPr>
        <w:tc>
          <w:tcPr>
            <w:tcW w:type="dxa" w:w="3249"/>
            <w:vMerge/>
            <w:tcBorders>
              <w:top w:val="nil"/>
              <w:left w:val="nil"/>
              <w:bottom w:val="nil"/>
              <w:right w:val="nil"/>
            </w:tcBorders>
            <w:tcMar>
              <w:top w:w="0" w:type="dxa"/>
              <w:left w:w="100" w:type="dxa"/>
              <w:bottom w:w="0" w:type="dxa"/>
              <w:right w:w="100" w:type="dxa"/>
            </w:tcMar>
          </w:tcPr>
          <w:p/>
        </w:tc>
        <w:tc>
          <w:tcPr>
            <w:tcW w:type="dxa" w:w="5777"/>
            <w:tcBorders>
              <w:top w:val="nil"/>
              <w:left w:val="nil"/>
              <w:bottom w:val="nil"/>
              <w:right w:val="nil"/>
            </w:tcBorders>
            <w:tcMar>
              <w:top w:w="0" w:type="dxa"/>
              <w:left w:w="100" w:type="dxa"/>
              <w:bottom w:w="0" w:type="dxa"/>
              <w:right w:w="100" w:type="dxa"/>
            </w:tcMar>
          </w:tcPr>
          <w:p>
            <w:pPr>
              <w:spacing w:after="0" w:before="0" w:line="264" w:lineRule="auto"/>
              <w:jc w:val="center"/>
            </w:pPr>
            <w:r>
              <w:rPr>
                <w:rFonts w:ascii="Times New Roman" w:hAnsi="Times New Roman" w:cs="Times New Roman" w:eastAsia="Times New Roman"/>
                <w:b/>
                <w:i w:val="0"/>
                <w:sz w:val="23"/>
              </w:rPr>
              <w:t>TRƯỞNG PHÒNG</w:t>
            </w:r>
          </w:p>
        </w:tc>
      </w:tr>
      <w:tr>
        <w:trPr>
          <w:cantSplit w:val="true"/>
        </w:trPr>
        <w:tc>
          <w:tcPr>
            <w:tcW w:type="dxa" w:w="3249"/>
            <w:vMerge/>
            <w:tcBorders>
              <w:top w:val="nil"/>
              <w:left w:val="nil"/>
              <w:bottom w:val="nil"/>
              <w:right w:val="nil"/>
            </w:tcBorders>
            <w:tcMar>
              <w:top w:w="0" w:type="dxa"/>
              <w:left w:w="100" w:type="dxa"/>
              <w:bottom w:w="0" w:type="dxa"/>
              <w:right w:w="100" w:type="dxa"/>
            </w:tcMar>
          </w:tcPr>
          <w:p/>
        </w:tc>
        <w:tc>
          <w:tcPr>
            <w:tcW w:type="dxa" w:w="5777"/>
            <w:tcBorders>
              <w:top w:val="nil"/>
              <w:left w:val="nil"/>
              <w:bottom w:val="nil"/>
              <w:right w:val="nil"/>
            </w:tcBorders>
            <w:tcMar>
              <w:top w:w="0" w:type="dxa"/>
              <w:left w:w="100" w:type="dxa"/>
              <w:bottom w:w="0" w:type="dxa"/>
              <w:right w:w="100" w:type="dxa"/>
            </w:tcMar>
          </w:tcPr>
          <w:p>
            <w:pPr>
              <w:spacing w:after="0" w:before="0" w:line="264" w:lineRule="auto"/>
              <w:jc w:val="center"/>
            </w:pPr>
            <w:r>
              <w:rPr>
                <w:rFonts w:ascii="Times New Roman" w:hAnsi="Times New Roman" w:cs="Times New Roman" w:eastAsia="Times New Roman"/>
                <w:b/>
                <w:i w:val="0"/>
                <w:sz w:val="23"/>
              </w:rPr>
              <w:t>KỸ THUẬT</w:t>
            </w:r>
          </w:p>
        </w:tc>
      </w:tr>
      <w:tr>
        <w:trPr>
          <w:cantSplit w:val="true"/>
        </w:trPr>
        <w:tc>
          <w:tcPr>
            <w:tcW w:type="dxa" w:w="3249"/>
            <w:vMerge/>
            <w:tcBorders>
              <w:top w:val="nil"/>
              <w:left w:val="nil"/>
              <w:bottom w:val="nil"/>
              <w:right w:val="nil"/>
            </w:tcBorders>
            <w:tcMar>
              <w:top w:w="0" w:type="dxa"/>
              <w:left w:w="100" w:type="dxa"/>
              <w:bottom w:w="0" w:type="dxa"/>
              <w:right w:w="100" w:type="dxa"/>
            </w:tcMar>
          </w:tcPr>
          <w:p/>
        </w:tc>
        <w:tc>
          <w:tcPr>
            <w:tcW w:type="dxa" w:w="5777"/>
            <w:tcBorders>
              <w:top w:val="nil"/>
              <w:left w:val="nil"/>
              <w:bottom w:val="nil"/>
              <w:right w:val="nil"/>
            </w:tcBorders>
            <w:tcMar>
              <w:top w:w="0" w:type="dxa"/>
              <w:left w:w="100" w:type="dxa"/>
              <w:bottom w:w="0" w:type="dxa"/>
              <w:right w:w="100" w:type="dxa"/>
            </w:tcMar>
          </w:tcPr>
          <w:p>
            <w:pPr>
              <w:spacing w:after="0" w:before="0" w:line="264" w:lineRule="auto"/>
              <w:jc w:val="center"/>
            </w:pPr>
            <w:r>
              <w:rPr>
                <w:rFonts w:ascii="Times New Roman" w:hAnsi="Times New Roman" w:cs="Times New Roman" w:eastAsia="Times New Roman"/>
                <w:b w:val="0"/>
                <w:i/>
                <w:color w:val="595959"/>
                <w:sz w:val="20"/>
              </w:rPr>
              <w:t>(Ký, ghi rõ họ tên)</w:t>
            </w:r>
          </w:p>
        </w:tc>
      </w:tr>
      <w:tr>
        <w:trPr>
          <w:cantSplit w:val="true"/>
        </w:trPr>
        <w:tc>
          <w:tcPr>
            <w:tcW w:type="dxa" w:w="3249"/>
            <w:vMerge/>
            <w:tcBorders>
              <w:top w:val="nil"/>
              <w:left w:val="nil"/>
              <w:bottom w:val="nil"/>
              <w:right w:val="nil"/>
            </w:tcBorders>
            <w:tcMar>
              <w:top w:w="0" w:type="dxa"/>
              <w:left w:w="100" w:type="dxa"/>
              <w:bottom w:w="0" w:type="dxa"/>
              <w:right w:w="100" w:type="dxa"/>
            </w:tcMar>
          </w:tcPr>
          <w:p/>
        </w:tc>
        <w:tc>
          <w:tcPr>
            <w:tcW w:type="dxa" w:w="5777"/>
            <w:tcBorders>
              <w:top w:val="nil"/>
              <w:left w:val="nil"/>
              <w:bottom w:val="nil"/>
              <w:right w:val="nil"/>
            </w:tcBorders>
            <w:tcMar>
              <w:top w:w="0" w:type="dxa"/>
              <w:left w:w="100" w:type="dxa"/>
              <w:bottom w:w="0" w:type="dxa"/>
              <w:right w:w="100" w:type="dxa"/>
            </w:tcMar>
          </w:tcPr>
          <w:p>
            <w:pPr>
              <w:spacing w:after="960" w:before="0" w:line="264" w:lineRule="auto"/>
              <w:jc w:val="left"/>
            </w:pPr>
          </w:p>
        </w:tc>
      </w:tr>
      <w:tr>
        <w:trPr>
          <w:cantSplit w:val="true"/>
        </w:trPr>
        <w:tc>
          <w:tcPr>
            <w:tcW w:type="dxa" w:w="3249"/>
            <w:vMerge/>
            <w:tcBorders>
              <w:top w:val="nil"/>
              <w:left w:val="nil"/>
              <w:bottom w:val="nil"/>
              <w:right w:val="nil"/>
            </w:tcBorders>
            <w:tcMar>
              <w:top w:w="0" w:type="dxa"/>
              <w:left w:w="100" w:type="dxa"/>
              <w:bottom w:w="0" w:type="dxa"/>
              <w:right w:w="100" w:type="dxa"/>
            </w:tcMar>
          </w:tcPr>
          <w:p/>
        </w:tc>
        <w:tc>
          <w:tcPr>
            <w:tcW w:type="dxa" w:w="5777"/>
            <w:tcBorders>
              <w:top w:val="nil"/>
              <w:left w:val="nil"/>
              <w:bottom w:val="nil"/>
              <w:right w:val="nil"/>
            </w:tcBorders>
            <w:tcMar>
              <w:top w:w="0" w:type="dxa"/>
              <w:left w:w="100" w:type="dxa"/>
              <w:bottom w:w="0" w:type="dxa"/>
              <w:right w:w="100" w:type="dxa"/>
            </w:tcMar>
          </w:tcPr>
          <w:p>
            <w:pPr>
              <w:spacing w:after="0" w:before="0" w:line="264" w:lineRule="auto"/>
              <w:jc w:val="center"/>
            </w:pPr>
            <w:r>
              <w:rPr>
                <w:rFonts w:ascii="Times New Roman" w:hAnsi="Times New Roman" w:cs="Times New Roman" w:eastAsia="Times New Roman"/>
                <w:b/>
                <w:i w:val="0"/>
                <w:sz w:val="24"/>
              </w:rPr>
              <w:t>Hoàng Đức Vũ</w:t>
            </w:r>
          </w:p>
        </w:tc>
      </w:tr>
    </w:tbl>
    <w:sectPr w:rsidR="00FC693F" w:rsidRPr="0006063C" w:rsidSect="00034616">
      <w:headerReference w:type="default" r:id="rId9"/>
      <w:footerReference w:type="default" r:id="rId10"/>
      <w:pgSz w:w="11906" w:h="16838"/>
      <w:pgMar w:top="1300" w:right="1440" w:bottom="1080" w:left="1440" w:header="480" w:footer="4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jc w:val="center"/>
      <w:tblLayout w:type="fixed"/>
      <w:tblLook w:firstColumn="1" w:firstRow="1" w:lastColumn="0" w:lastRow="0" w:noHBand="0" w:noVBand="1" w:val="04A0"/>
      <w:tblLayout w:type="fixed"/>
      <w:tblW w:w="9026" w:type="dxa"/>
    </w:tblPr>
    <w:tblGrid>
      <w:gridCol w:w="7526"/>
      <w:gridCol w:w="1500"/>
    </w:tblGrid>
    <w:tr>
      <w:tc>
        <w:tcPr>
          <w:tcW w:type="dxa" w:w="7526"/>
          <w:tcBorders>
            <w:top w:val="single" w:sz="4" w:color="BFBFBF"/>
            <w:left w:val="nil"/>
            <w:bottom w:val="nil"/>
            <w:right w:val="nil"/>
          </w:tcBorders>
          <w:tcMar>
            <w:top w:w="50" w:type="dxa"/>
            <w:left w:w="0" w:type="dxa"/>
            <w:bottom w:w="0" w:type="dxa"/>
            <w:right w:w="0" w:type="dxa"/>
          </w:tcMar>
        </w:tcPr>
        <w:p>
          <w:pPr>
            <w:spacing w:after="0" w:before="0" w:line="264" w:lineRule="auto"/>
            <w:jc w:val="left"/>
          </w:pPr>
          <w:r>
            <w:rPr>
              <w:rFonts w:ascii="Times New Roman" w:hAnsi="Times New Roman" w:cs="Times New Roman" w:eastAsia="Times New Roman"/>
              <w:b w:val="0"/>
              <w:i/>
              <w:color w:val="595959"/>
              <w:sz w:val="16"/>
            </w:rPr>
            <w:t>Tài liệu nội bộ · Phiếu kiểm tra đề cương TVGS</w:t>
          </w:r>
        </w:p>
      </w:tc>
      <w:tc>
        <w:tcPr>
          <w:tcW w:type="dxa" w:w="1500"/>
          <w:tcBorders>
            <w:top w:val="single" w:sz="4" w:color="BFBFBF"/>
            <w:left w:val="nil"/>
            <w:bottom w:val="nil"/>
            <w:right w:val="nil"/>
          </w:tcBorders>
          <w:tcMar>
            <w:top w:w="50" w:type="dxa"/>
            <w:left w:w="0" w:type="dxa"/>
            <w:bottom w:w="0" w:type="dxa"/>
            <w:right w:w="0" w:type="dxa"/>
          </w:tcMar>
        </w:tcPr>
        <w:p>
          <w:pPr>
            <w:spacing w:after="0" w:before="0" w:line="264" w:lineRule="auto"/>
            <w:jc w:val="right"/>
          </w:pPr>
          <w:r>
            <w:rPr>
              <w:rFonts w:ascii="Times New Roman" w:hAnsi="Times New Roman" w:cs="Times New Roman" w:eastAsia="Times New Roman"/>
              <w:b w:val="0"/>
              <w:i w:val="0"/>
              <w:color w:val="595959"/>
              <w:sz w:val="16"/>
            </w:rPr>
            <w:t xml:space="preserve">Trang </w:t>
          </w:r>
          <w:r>
            <w:rPr>
              <w:rFonts w:ascii="Times New Roman" w:hAnsi="Times New Roman"/>
              <w:color w:val="595959"/>
              <w:sz w:val="16"/>
            </w:rPr>
            <w:fldChar w:fldCharType="begin"/>
            <w:instrText xml:space="preserve">PAGE</w:instrText>
            <w:fldChar w:fldCharType="end"/>
          </w:r>
          <w:r>
            <w:rPr>
              <w:rFonts w:ascii="Times New Roman" w:hAnsi="Times New Roman" w:cs="Times New Roman" w:eastAsia="Times New Roman"/>
              <w:b w:val="0"/>
              <w:i w:val="0"/>
              <w:color w:val="595959"/>
              <w:sz w:val="16"/>
            </w:rPr>
            <w:t xml:space="preserve"> / </w:t>
          </w:r>
          <w:r>
            <w:rPr>
              <w:rFonts w:ascii="Times New Roman" w:hAnsi="Times New Roman"/>
              <w:color w:val="595959"/>
              <w:sz w:val="16"/>
            </w:rPr>
            <w:fldChar w:fldCharType="begin"/>
            <w:instrText xml:space="preserve">NUMPAGES</w:instrText>
            <w:fldChar w:fldCharType="end"/>
          </w:r>
        </w:p>
      </w:tc>
    </w:tr>
  </w:tbl>
  <w:p>
    <w:pPr>
      <w:spacing w:after="0" w:line="120" w:lineRule="auto"/>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jc w:val="center"/>
      <w:tblLayout w:type="fixed"/>
      <w:tblLook w:firstColumn="1" w:firstRow="1" w:lastColumn="0" w:lastRow="0" w:noHBand="0" w:noVBand="1" w:val="04A0"/>
      <w:tblLayout w:type="fixed"/>
      <w:tblW w:w="9026" w:type="dxa"/>
    </w:tblPr>
    <w:tblGrid>
      <w:gridCol w:w="1250"/>
      <w:gridCol w:w="3985"/>
      <w:gridCol w:w="3791"/>
    </w:tblGrid>
    <w:tr>
      <w:tc>
        <w:tcPr>
          <w:tcW w:type="dxa" w:w="1250"/>
          <w:tcBorders>
            <w:top w:val="nil"/>
            <w:left w:val="nil"/>
            <w:bottom w:val="single" w:sz="12" w:color="2E5496"/>
            <w:right w:val="nil"/>
          </w:tcBorders>
          <w:tcMar>
            <w:top w:w="0" w:type="dxa"/>
            <w:left w:w="100" w:type="dxa"/>
            <w:bottom w:w="40" w:type="dxa"/>
            <w:right w:w="100" w:type="dxa"/>
          </w:tcMar>
          <w:vAlign w:val="bottom"/>
        </w:tcPr>
        <w:p>
          <w:pPr>
            <w:spacing w:after="40"/>
          </w:pPr>
          <w:r>
            <w:drawing>
              <wp:inline xmlns:a="http://schemas.openxmlformats.org/drawingml/2006/main" xmlns:pic="http://schemas.openxmlformats.org/drawingml/2006/picture">
                <wp:extent cx="637200" cy="244800"/>
                <wp:docPr id="1" name="Picture 1"/>
                <wp:cNvGraphicFramePr>
                  <a:graphicFrameLocks noChangeAspect="1"/>
                </wp:cNvGraphicFramePr>
                <a:graphic>
                  <a:graphicData uri="http://schemas.openxmlformats.org/drawingml/2006/picture">
                    <pic:pic>
                      <pic:nvPicPr>
                        <pic:cNvPr id="0" name="logo_texo.png"/>
                        <pic:cNvPicPr/>
                      </pic:nvPicPr>
                      <pic:blipFill>
                        <a:blip r:embed="rId1"/>
                        <a:stretch>
                          <a:fillRect/>
                        </a:stretch>
                      </pic:blipFill>
                      <pic:spPr>
                        <a:xfrm>
                          <a:off x="0" y="0"/>
                          <a:ext cx="637200" cy="244800"/>
                        </a:xfrm>
                        <a:prstGeom prst="rect"/>
                      </pic:spPr>
                    </pic:pic>
                  </a:graphicData>
                </a:graphic>
              </wp:inline>
            </w:drawing>
          </w:r>
        </w:p>
      </w:tc>
      <w:tc>
        <w:tcPr>
          <w:tcW w:type="dxa" w:w="3985"/>
          <w:tcBorders>
            <w:top w:val="nil"/>
            <w:left w:val="nil"/>
            <w:bottom w:val="single" w:sz="12" w:color="2E5496"/>
            <w:right w:val="nil"/>
          </w:tcBorders>
          <w:tcMar>
            <w:top w:w="0" w:type="dxa"/>
            <w:left w:w="100" w:type="dxa"/>
            <w:bottom w:w="40" w:type="dxa"/>
            <w:right w:w="100" w:type="dxa"/>
          </w:tcMar>
          <w:vAlign w:val="bottom"/>
        </w:tcPr>
        <w:p>
          <w:pPr>
            <w:spacing w:after="0" w:before="0" w:line="264" w:lineRule="auto"/>
            <w:jc w:val="left"/>
          </w:pPr>
          <w:r>
            <w:rPr>
              <w:rFonts w:ascii="Times New Roman" w:hAnsi="Times New Roman" w:cs="Times New Roman" w:eastAsia="Times New Roman"/>
              <w:b/>
              <w:i w:val="0"/>
              <w:color w:val="1F3864"/>
              <w:sz w:val="16"/>
            </w:rPr>
            <w:t>CÔNG TY CỔ PHẦN TEXO TƯ VẤN VÀ ĐẦU TƯ</w:t>
          </w:r>
        </w:p>
        <w:p>
          <w:pPr>
            <w:spacing w:after="40" w:before="0" w:line="264" w:lineRule="auto"/>
            <w:jc w:val="left"/>
          </w:pPr>
          <w:r>
            <w:rPr>
              <w:rFonts w:ascii="Times New Roman" w:hAnsi="Times New Roman" w:cs="Times New Roman" w:eastAsia="Times New Roman"/>
              <w:b/>
              <w:i w:val="0"/>
              <w:color w:val="2E5496"/>
              <w:sz w:val="16"/>
            </w:rPr>
            <w:t>PHÒNG KỸ THUẬT</w:t>
          </w:r>
        </w:p>
      </w:tc>
      <w:tc>
        <w:tcPr>
          <w:tcW w:type="dxa" w:w="3791"/>
          <w:tcBorders>
            <w:top w:val="nil"/>
            <w:left w:val="nil"/>
            <w:bottom w:val="single" w:sz="12" w:color="2E5496"/>
            <w:right w:val="nil"/>
          </w:tcBorders>
          <w:tcMar>
            <w:top w:w="0" w:type="dxa"/>
            <w:left w:w="100" w:type="dxa"/>
            <w:bottom w:w="40" w:type="dxa"/>
            <w:right w:w="100" w:type="dxa"/>
          </w:tcMar>
          <w:vAlign w:val="bottom"/>
        </w:tcPr>
        <w:p>
          <w:pPr>
            <w:spacing w:after="0" w:before="0" w:line="264" w:lineRule="auto"/>
            <w:jc w:val="right"/>
          </w:pPr>
          <w:r>
            <w:rPr>
              <w:rFonts w:ascii="Times New Roman" w:hAnsi="Times New Roman" w:cs="Times New Roman" w:eastAsia="Times New Roman"/>
              <w:b/>
              <w:i w:val="0"/>
              <w:color w:val="1F3864"/>
              <w:sz w:val="17"/>
            </w:rPr>
            <w:t>PHIẾU KIỂM TRA ĐỀ CƯƠNG TVGS</w:t>
          </w:r>
        </w:p>
        <w:p>
          <w:pPr>
            <w:spacing w:after="40" w:before="0" w:line="264" w:lineRule="auto"/>
            <w:jc w:val="right"/>
          </w:pPr>
          <w:r>
            <w:rPr>
              <w:rFonts w:ascii="Times New Roman" w:hAnsi="Times New Roman" w:cs="Times New Roman" w:eastAsia="Times New Roman"/>
              <w:b w:val="0"/>
              <w:i/>
              <w:color w:val="595959"/>
              <w:sz w:val="16"/>
            </w:rPr>
            <w:t>TT12 250415 De cuong TVGS Taseco Long Th</w:t>
          </w:r>
        </w:p>
      </w:tc>
    </w:tr>
  </w:tbl>
  <w:p>
    <w:pPr>
      <w:spacing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