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pPr>
      <w:r>
        <w:rPr>
          <w:rFonts w:ascii="Times New Roman" w:hAnsi="Times New Roman" w:cs="Times New Roman" w:eastAsia="Times New Roman"/>
          <w:b/>
          <w:i w:val="0"/>
          <w:color w:val="1F3864"/>
          <w:sz w:val="32"/>
        </w:rPr>
        <w:t>PHIẾU KIỂM TRA ĐỀ CƯƠNG TƯ VẤN GIÁM SÁT</w:t>
      </w:r>
    </w:p>
    <w:p>
      <w:pPr>
        <w:keepNext w:val="0"/>
        <w:spacing w:before="0" w:after="160" w:line="276" w:lineRule="auto"/>
        <w:jc w:val="center"/>
      </w:pPr>
      <w:r>
        <w:rPr>
          <w:rFonts w:ascii="Times New Roman" w:hAnsi="Times New Roman" w:cs="Times New Roman" w:eastAsia="Times New Roman"/>
          <w:b w:val="0"/>
          <w:i/>
          <w:color w:val="595959"/>
          <w:sz w:val="24"/>
        </w:rPr>
        <w:t>TT6 DE-CUONG-GIAM-SAT-TEXO-Tram-XLNT</w:t>
      </w:r>
    </w:p>
    <w:tbl>
      <w:tblPr>
        <w:jc w:val="center"/>
        <w:tblLayout w:type="fixed"/>
        <w:tblLook w:firstColumn="1" w:firstRow="1" w:lastColumn="0" w:lastRow="0" w:noHBand="0" w:noVBand="1" w:val="04A0"/>
        <w:tblLayout w:type="fixed"/>
        <w:tblW w:w="9026" w:type="dxa"/>
      </w:tblPr>
      <w:tblGrid>
        <w:gridCol w:w="2708"/>
        <w:gridCol w:w="6318"/>
      </w:tblGrid>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Đề cương / dự án</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TT6 DE-CUONG-GIAM-SAT-TEXO-Tram-XLNT</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lập</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Trung tâm 06</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File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TT6 DE-CUONG-GIAM-SAT-TEXO-Tram-XLNT.docx</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Mẫu áp dụng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Nâng cao (công cụ tự nhận: Nâng cao)</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điểm lập đề cương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Không xác định trên bìa</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Ngày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23/10/2026</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2151"/>
        <w:gridCol w:w="140"/>
        <w:gridCol w:w="2151"/>
        <w:gridCol w:w="140"/>
        <w:gridCol w:w="2151"/>
        <w:gridCol w:w="140"/>
        <w:gridCol w:w="2153"/>
      </w:tblGrid>
      <w:tr>
        <w:trPr>
          <w:cantSplit w:val="true"/>
        </w:trPr>
        <w:tc>
          <w:tcPr>
            <w:tcW w:type="dxa" w:w="2151"/>
            <w:tcBorders>
              <w:top w:val="single" w:sz="24" w:color="C45911"/>
              <w:left w:val="nil"/>
              <w:bottom w:val="nil"/>
              <w:right w:val="nil"/>
            </w:tcBorders>
            <w:shd w:val="clear" w:color="auto" w:fill="FFF1DE"/>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45911"/>
                <w:sz w:val="44"/>
              </w:rPr>
              <w:t>81</w:t>
            </w:r>
          </w:p>
          <w:p>
            <w:pPr>
              <w:spacing w:after="20" w:before="0" w:line="264" w:lineRule="auto"/>
              <w:jc w:val="center"/>
            </w:pPr>
            <w:r>
              <w:rPr>
                <w:rFonts w:ascii="Times New Roman" w:hAnsi="Times New Roman" w:cs="Times New Roman" w:eastAsia="Times New Roman"/>
                <w:b/>
                <w:i w:val="0"/>
                <w:color w:val="1F3864"/>
                <w:sz w:val="21"/>
              </w:rPr>
              <w:t>Điểm khung</w:t>
            </w:r>
          </w:p>
          <w:p>
            <w:pPr>
              <w:spacing w:after="40" w:before="0" w:line="264" w:lineRule="auto"/>
              <w:jc w:val="center"/>
            </w:pPr>
            <w:r>
              <w:rPr>
                <w:rFonts w:ascii="Times New Roman" w:hAnsi="Times New Roman" w:cs="Times New Roman" w:eastAsia="Times New Roman"/>
                <w:b w:val="0"/>
                <w:i/>
                <w:color w:val="595959"/>
                <w:sz w:val="18"/>
              </w:rPr>
              <w:t>/100 theo mẫu Nâng cao</w:t>
            </w:r>
          </w:p>
        </w:tc>
        <w:tc>
          <w:tcPr>
            <w:tcW w:type="dxa" w:w="140"/>
            <w:tcBorders>
              <w:top w:val="nil"/>
              <w:left w:val="nil"/>
              <w:bottom w:val="nil"/>
              <w:right w:val="nil"/>
            </w:tcBorders>
          </w:tcPr>
          <w:p/>
        </w:tc>
        <w:tc>
          <w:tcPr>
            <w:tcW w:type="dxa" w:w="2151"/>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10</w:t>
            </w:r>
          </w:p>
          <w:p>
            <w:pPr>
              <w:spacing w:after="20" w:before="0" w:line="264" w:lineRule="auto"/>
              <w:jc w:val="center"/>
            </w:pPr>
            <w:r>
              <w:rPr>
                <w:rFonts w:ascii="Times New Roman" w:hAnsi="Times New Roman" w:cs="Times New Roman" w:eastAsia="Times New Roman"/>
                <w:b/>
                <w:i w:val="0"/>
                <w:color w:val="1F3864"/>
                <w:sz w:val="21"/>
              </w:rPr>
              <w:t>Phải xử lý</w:t>
            </w:r>
          </w:p>
          <w:p>
            <w:pPr>
              <w:spacing w:after="40" w:before="0" w:line="264" w:lineRule="auto"/>
              <w:jc w:val="center"/>
            </w:pPr>
            <w:r>
              <w:rPr>
                <w:rFonts w:ascii="Times New Roman" w:hAnsi="Times New Roman" w:cs="Times New Roman" w:eastAsia="Times New Roman"/>
                <w:b w:val="0"/>
                <w:i/>
                <w:color w:val="595959"/>
                <w:sz w:val="18"/>
              </w:rPr>
              <w:t>trước khi trình ký</w:t>
            </w:r>
          </w:p>
        </w:tc>
        <w:tc>
          <w:tcPr>
            <w:tcW w:type="dxa" w:w="140"/>
            <w:tcBorders>
              <w:top w:val="nil"/>
              <w:left w:val="nil"/>
              <w:bottom w:val="nil"/>
              <w:right w:val="nil"/>
            </w:tcBorders>
          </w:tcPr>
          <w:p/>
        </w:tc>
        <w:tc>
          <w:tcPr>
            <w:tcW w:type="dxa" w:w="2151"/>
            <w:tcBorders>
              <w:top w:val="single" w:sz="24" w:color="2E5496"/>
              <w:left w:val="nil"/>
              <w:bottom w:val="nil"/>
              <w:right w:val="nil"/>
            </w:tcBorders>
            <w:shd w:val="clear" w:color="auto" w:fill="D9E1F2"/>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5496"/>
                <w:sz w:val="44"/>
              </w:rPr>
              <w:t>18</w:t>
            </w:r>
          </w:p>
          <w:p>
            <w:pPr>
              <w:spacing w:after="20" w:before="0" w:line="264" w:lineRule="auto"/>
              <w:jc w:val="center"/>
            </w:pPr>
            <w:r>
              <w:rPr>
                <w:rFonts w:ascii="Times New Roman" w:hAnsi="Times New Roman" w:cs="Times New Roman" w:eastAsia="Times New Roman"/>
                <w:b/>
                <w:i w:val="0"/>
                <w:color w:val="1F3864"/>
                <w:sz w:val="21"/>
              </w:rPr>
              <w:t>Hạng mục chi tiết</w:t>
            </w:r>
          </w:p>
          <w:p>
            <w:pPr>
              <w:spacing w:after="40" w:before="0" w:line="264" w:lineRule="auto"/>
              <w:jc w:val="center"/>
            </w:pPr>
            <w:r>
              <w:rPr>
                <w:rFonts w:ascii="Times New Roman" w:hAnsi="Times New Roman" w:cs="Times New Roman" w:eastAsia="Times New Roman"/>
                <w:b w:val="0"/>
                <w:i/>
                <w:color w:val="595959"/>
                <w:sz w:val="18"/>
              </w:rPr>
              <w:t>có mục giám sát riêng</w:t>
            </w:r>
          </w:p>
        </w:tc>
        <w:tc>
          <w:tcPr>
            <w:tcW w:type="dxa" w:w="140"/>
            <w:tcBorders>
              <w:top w:val="nil"/>
              <w:left w:val="nil"/>
              <w:bottom w:val="nil"/>
              <w:right w:val="nil"/>
            </w:tcBorders>
          </w:tcPr>
          <w:p/>
        </w:tc>
        <w:tc>
          <w:tcPr>
            <w:tcW w:type="dxa" w:w="2153"/>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3</w:t>
            </w:r>
          </w:p>
          <w:p>
            <w:pPr>
              <w:spacing w:after="20" w:before="0" w:line="264" w:lineRule="auto"/>
              <w:jc w:val="center"/>
            </w:pPr>
            <w:r>
              <w:rPr>
                <w:rFonts w:ascii="Times New Roman" w:hAnsi="Times New Roman" w:cs="Times New Roman" w:eastAsia="Times New Roman"/>
                <w:b/>
                <w:i w:val="0"/>
                <w:color w:val="1F3864"/>
                <w:sz w:val="21"/>
              </w:rPr>
              <w:t>Căn cứ hết hiệu lực</w:t>
            </w:r>
          </w:p>
          <w:p>
            <w:pPr>
              <w:spacing w:after="40" w:before="0" w:line="264" w:lineRule="auto"/>
              <w:jc w:val="center"/>
            </w:pPr>
            <w:r>
              <w:rPr>
                <w:rFonts w:ascii="Times New Roman" w:hAnsi="Times New Roman" w:cs="Times New Roman" w:eastAsia="Times New Roman"/>
                <w:b w:val="0"/>
                <w:i/>
                <w:color w:val="595959"/>
                <w:sz w:val="18"/>
              </w:rPr>
              <w:t>loại văn bản</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9026"/>
      </w:tblGrid>
      <w:tr>
        <w:trPr>
          <w:cantSplit w:val="true"/>
        </w:trPr>
        <w:tc>
          <w:tcPr>
            <w:tcW w:type="dxa" w:w="9026"/>
            <w:tcBorders>
              <w:top w:val="nil"/>
              <w:left w:val="single" w:sz="36" w:color="C45911"/>
              <w:bottom w:val="nil"/>
              <w:right w:val="nil"/>
            </w:tcBorders>
            <w:shd w:val="clear" w:color="auto" w:fill="FFF1DE"/>
            <w:tcMar>
              <w:top w:w="120" w:type="dxa"/>
              <w:left w:w="160" w:type="dxa"/>
              <w:bottom w:w="120" w:type="dxa"/>
              <w:right w:w="140" w:type="dxa"/>
            </w:tcMar>
          </w:tcPr>
          <w:p>
            <w:pPr>
              <w:spacing w:after="60" w:before="0" w:line="264" w:lineRule="auto"/>
              <w:jc w:val="left"/>
            </w:pPr>
            <w:r>
              <w:rPr>
                <w:rFonts w:ascii="Times New Roman" w:hAnsi="Times New Roman" w:cs="Times New Roman" w:eastAsia="Times New Roman"/>
                <w:b/>
                <w:i w:val="0"/>
                <w:color w:val="C45911"/>
                <w:sz w:val="23"/>
              </w:rPr>
              <w:t>KẾT LUẬN</w:t>
            </w:r>
          </w:p>
          <w:p>
            <w:pPr>
              <w:spacing w:after="40" w:before="0" w:line="288" w:lineRule="auto"/>
              <w:jc w:val="both"/>
            </w:pPr>
            <w:r>
              <w:rPr>
                <w:rFonts w:ascii="Times New Roman" w:hAnsi="Times New Roman" w:cs="Times New Roman" w:eastAsia="Times New Roman"/>
                <w:b w:val="0"/>
                <w:i w:val="0"/>
                <w:sz w:val="23"/>
              </w:rPr>
              <w:t>Kết luận: Cần chỉnh sửa, bổ sung trước khi trình ký.</w:t>
            </w:r>
          </w:p>
          <w:p>
            <w:pPr>
              <w:spacing w:after="40" w:before="0" w:line="288" w:lineRule="auto"/>
              <w:jc w:val="both"/>
            </w:pPr>
            <w:r>
              <w:rPr>
                <w:rFonts w:ascii="Times New Roman" w:hAnsi="Times New Roman" w:cs="Times New Roman" w:eastAsia="Times New Roman"/>
                <w:b w:val="0"/>
                <w:i w:val="0"/>
                <w:sz w:val="23"/>
              </w:rPr>
              <w:t>Các việc cần xử lý chính: BC02 – Thời hạn nộp báo cáo; BC03 – Tổ chức các cuộc họp, giao ban; TO02 – Mô hình, sơ đồ tổ chức đoàn TVGS; TO04 – Quan hệ của đoàn TVGS với Công ty, nội bộ và các bên; TO05 – Phân công / phân cấp trách nhiệm ký hồ sơ sản phẩm TVGS.</w:t>
            </w:r>
          </w:p>
          <w:p>
            <w:pPr>
              <w:spacing w:after="40" w:before="0" w:line="288" w:lineRule="auto"/>
              <w:jc w:val="both"/>
            </w:pPr>
            <w:r>
              <w:rPr>
                <w:rFonts w:ascii="Times New Roman" w:hAnsi="Times New Roman" w:cs="Times New Roman" w:eastAsia="Times New Roman"/>
                <w:b w:val="0"/>
                <w:i w:val="0"/>
                <w:sz w:val="23"/>
              </w:rPr>
              <w:t>Lưu ý bắt buộc: trước khi trình ký, rà soát văn bản pháp luật, tiêu chuẩn viện dẫn bằng công cụ TEXO Legal Reviewer để bảo đảm dùng phiên bản mới nhất.</w:t>
            </w:r>
          </w:p>
        </w:tc>
      </w:tr>
    </w:tbl>
    <w:p>
      <w:pPr>
        <w:keepNext w:val="0"/>
        <w:spacing w:before="0" w:after="160" w:line="276" w:lineRule="auto"/>
        <w:jc w:val="both"/>
      </w:pP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1. Việc cần xử lý trước khi trình ký</w:t>
      </w:r>
    </w:p>
    <w:tbl>
      <w:tblPr>
        <w:jc w:val="center"/>
        <w:tblLayout w:type="fixed"/>
        <w:tblLook w:firstColumn="1" w:firstRow="1" w:lastColumn="0" w:lastRow="0" w:noHBand="0" w:noVBand="1" w:val="04A0"/>
        <w:tblLayout w:type="fixed"/>
        <w:tblW w:w="9026" w:type="dxa"/>
      </w:tblPr>
      <w:tblGrid>
        <w:gridCol w:w="450"/>
        <w:gridCol w:w="2900"/>
        <w:gridCol w:w="2200"/>
        <w:gridCol w:w="2226"/>
        <w:gridCol w:w="1250"/>
      </w:tblGrid>
      <w:tr>
        <w:trPr>
          <w:cantSplit w:val="true"/>
          <w:tblHeader w:val="true"/>
        </w:trPr>
        <w:tc>
          <w:tcPr>
            <w:tcW w:type="dxa" w:w="4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w:t>
            </w:r>
          </w:p>
        </w:tc>
        <w:tc>
          <w:tcPr>
            <w:tcW w:type="dxa" w:w="2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Hiện trạng</w:t>
            </w:r>
          </w:p>
        </w:tc>
        <w:tc>
          <w:tcPr>
            <w:tcW w:type="dxa" w:w="22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Yêu cầu sửa</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BC02 – Thời hạn nộp báo cáo</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BC03 – Tổ chức các cuộc họp, giao ban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TO02 – Mô hình, sơ đồ tổ chức đoàn TVGS</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TO04 – Quan hệ của đoàn TVGS với Công ty, nội bộ và các bên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TO05 – Phân công / phân cấp trách nhiệm ký hồ sơ sản phẩm TVGS</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Hạng mục: Giám sát gia công, lắp đặt cửa gỗ</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 có</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Hạng mục: Giám sát lắp đặt máy phát điện dự phòng</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 có</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Luật Xây dựng 50/2014/QH13</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Luật sửa đổi Luật Xây dựng 62/2020/QH14</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10</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Nghị định 175/2024/NĐ-CP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HT04 – Bảng từ ngữ viết tắt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TC02 – Quy mô, loại – cấp công trình, giải pháp thiết kế chính</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4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TC04 – Sản phẩm của gói thầu TVGS</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CL14 – Phát hiện sai sót, bất hợp lý của thiết kế</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TD02 – Biện pháp khắc phục chậm tiến độ, đẩy nhanh tiến độ</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14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TD03 – Cập nhật tiến độ định kỳ, cảnh báo sớm nguy cơ chậm</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AT04 – Kế hoạch quản lý an toàn: nhận diện mối nguy, đánh giá rủi ro, biện pháp kiểm soát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BC01 – Chế độ báo cáo (tuần, tháng, giai đoạn, hoàn thành, sự cố)</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TO07 – Kế hoạch điều động, đánh giá, đào tạo nhân sự đoàn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20</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TO09 – Biện pháp phòng ngừa sai sót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2. Đối chiếu khung chuẩn đề cương TVGS</w:t>
      </w:r>
    </w:p>
    <w:tbl>
      <w:tblPr>
        <w:jc w:val="center"/>
        <w:tblLayout w:type="fixed"/>
        <w:tblLook w:firstColumn="1" w:firstRow="1" w:lastColumn="0" w:lastRow="0" w:noHBand="0" w:noVBand="1" w:val="04A0"/>
        <w:tblLayout w:type="fixed"/>
        <w:tblW w:w="9026" w:type="dxa"/>
      </w:tblPr>
      <w:tblGrid>
        <w:gridCol w:w="650"/>
        <w:gridCol w:w="3200"/>
        <w:gridCol w:w="900"/>
        <w:gridCol w:w="3026"/>
        <w:gridCol w:w="1250"/>
      </w:tblGrid>
      <w:tr>
        <w:trPr>
          <w:cantSplit w:val="true"/>
          <w:tblHeader w:val="true"/>
        </w:trPr>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Mã</w:t>
            </w:r>
          </w:p>
        </w:tc>
        <w:tc>
          <w:tcPr>
            <w:tcW w:type="dxa" w:w="3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Tiêu chí</w:t>
            </w:r>
          </w:p>
        </w:tc>
        <w:tc>
          <w:tcPr>
            <w:tcW w:type="dxa" w:w="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Cấp</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Kết quả / bằng chứng</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Hình thức, bố cục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Bìa đủ thông tin: Dự án, Công trình/Gói thầu, Địa điểm, Chủ đầu tư, Đơn vị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Có: Dự án, Công trình/Gói thầu, Địa điểm, Chủ đầu tư, Đơn vị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Tờ lót có ô ký Chủ đầu tư phê duyệt và Đại diện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Có ô ký CĐT phê duyệt /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Mục lục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MỤC LỤC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Bảng từ ngữ viết tắt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Khổ giấy A4</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Khổ 21.0 × 29.7 cm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Tài liệu phát hành chỉ mang tên Công ty TEXO – không nêu đơn vị nội bộ (Trung tâm, VPĐT…)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Không nêu đơn vị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Thông tin dự án, phạm vi công việc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Thông tin dự án, công trình, gói thầu, địa điểm, chủ đầu tư</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A. THÔNG TIN VỀ DỰ ÁN VÀ PHẠM VI GÓI THẦU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mô, loại – cấp công trình, giải pháp thiết kế chính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4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Phạm vi công việc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A. THÔNG TIN VỀ DỰ ÁN VÀ PHẠM VI GÓI THẦU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Sản phẩm của gói thầu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Các bên tham gia dự án / hồ sơ dữ liệu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Phân chia giai đoạn thi công xây dựng được thống nhất bởi CĐT và các bên tham gia để phù hợp với yêu cầu của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Cơ sở thực hiện, vai trò các bên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sở thực hiện: văn bản pháp luật hiện hành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CƠ SỞ THỰC HIỆN CÔNG TÁC GIÁM SÁT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Hợp đồng TVGS, hồ sơ thiết kế, hợp đồng thi công – căn cứ của gói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Phần A Hồ sơ pháp lý: Do CĐT, tư vấn quản lý dự án thực hiện, KS TVGS TEXO có trách nhiệm nhắc nhở CĐT, tư vấn quản lý 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Danh mục quy chuẩn, tiêu chuẩn áp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Hệ thống tiêu chuẩn xây dựng áp dụng cho công tác nghiệm thu dựa trên hệ thống tiêu chuẩn áp dụng cho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Vai trò, quyền và nghĩa vụ của Chủ đầu tư và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 VAI TRÒ, TRÁCH NHIỆM CỦA CÁC BÊN LIÊN QUAN TRONG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Quyền, nghĩa vụ / quan hệ với TVTK và nhà thầu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chất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điều kiện khởi công, công tác chuẩn bị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KIỂM TRA ĐIỀU KIỆN KHỞI CÔNG, NĂNG LỰC VÀ HỒ SƠ CHUẨN BỊ</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sự phù hợp năng lực nhà thầu (nhân lực,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Kiểm tra sự phù hợp năng lực của NT thi công xây dựng công trình với hồ sơ dự thầu và hợp đồng xây dựng. Bao gồm: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hệ thống quản lý chất lượng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2.2. Kiểm tra hệ thống quản lý chất lượng của NT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phòng thí nghiệm, cơ sở sản xuất vật liệu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2.4. Kiểm tra phòng thí nghiệm và các cơ sở sản xuất vật liệu, cấu kiện, sản phẩm xây dựng phục vụ thi công xây dựng côn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nghiệm thu vật liệu, sản phẩm, thiết bị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Kiểm tra và giám sát chất lượng vật tư, vật liệu và thiết bị lắp đặt vào công trình do NT thi công xây dựng công trìn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biện pháp thi công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Có biện pháp thi công, biện pháp để đảm bảo an toàn, vệ sinh môi trường trong quá trình thi công xây dựng do NT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bản vẽ shopdrawing (triển khai, chế tạo, lắp đặt)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Đối với thiết bị công nghệ, điện - điều khiển và vật tư chuyên ngành chưa có tiêu chuẩn cụ thể trong hồ sơ Hợp đồng, TVG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thường xuyên, nhật ký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Các kết quả kiểm tra và số lượng vật tư vật liệu đưa vào công trình từng thời điểm trong ngày được ghi trong nhật ký côn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xác nhận bản vẽ hoàn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4.3. Xác nhận bản vẽ hoàn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công việc xây dựng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Việc giám sát thường xuyên, liên tục, có hệ thống, được hiểu có nghĩa như sau: Theo đúng quy trình nghiệm thu, tiến độ 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Nghiệm thu bộ phận, giai đoạn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4.6 Nghiệm thu bộ phận công trình xây dựng, giai đoạn thi công xây dựng (Điều 23 Nghị định 207/2026/NĐ-CP)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hoàn thành hạng mục, công trình đưa vào sử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Mục đích lựa chọn nhà thầu Tư vấn giám sát thi công xây dựng và hoàn thiện; lắp đặt thiết bị, để quản lý các công tác xâ</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Hồ sơ nghiệm thu, tài liệu hoàn thành công trình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Tài liệu phục vụ nghiệm thu bộ phận công trình như nêu trong căn cứ nghiệm thu bộ phận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Phát hiện sai sót, bất hợp lý của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Đề nghị kiểm định lại khi nghi ngờ chất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4.10. Đề nghị CĐT tổ chức kiểm định lại chất lượng bộ phận công trình, hạng mục công trình và công trình xây dựng khi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Phối hợp giải quyết vướng mắc, phát sinh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4.11. Phối hợp với các bên liên quan giải quyết những vướng mắc, phát sinh trong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Sơ đồ/lưu đồ quy trình quản lý chất lượng, quy trình nghiệm thu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Việc giám sát thường xuyên, liên tục, có hệ thống, được hiểu có nghĩa như sau: Theo đúng quy trình nghiệm thu, tiến độ 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xử lý không phù hợp (NCR)</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Khi phát hiện vật liệu, thiết bị hoặc công việc không phù hợp, TVGS lập/đề nghị lập NCR hoặc biên bản hiện trường, xác đ</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Quản lý thay đổi thiết kế, RFI, xung đột bộ môn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Mọi sửa chữa/thay thế làm thay đổi thiết kế, thông số thiết bị, vật liệu, tuyến/cao độ hoặc logic điều khiển phải được 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 hoạch nghiệm thu / kế hoạch kiểm tra (ITP)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XIX. MA TRẬN ĐIỂM KIỂM SOÁT TỐI THIỂU (ITP TÓM TẮT)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chạy thử, vận hành thử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Kiểm tra đối tượng nghiệm thu tại hiện trường: Bộ phận công trình xây dựng, giai đoạn thi công xây dựng, thiết bị chạy 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khối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Nguyên tắc giám sát, xác nhận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GIÁM SÁT KHỐI LƯỢNG, ĐO ĐẠC XÁC NHẬN KHỐI LƯỢNG THỰC TẾ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Khối lượng phát sinh so với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Khối lượng phát sinh so với hồ sơ TK:</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Khối lượng sửa đổi, khối lượng thi công khác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Khối lượng sửa đổi so với hồ sơ TK.</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thời hạn xác nhận khối lượng; lưu ý khi tính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tiến độ</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tiến độ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QUY TRÌNH GIÁM SÁT TIẾN ĐỘ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khắc phục chậm tiến độ, đẩy nhanh tiến độ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14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Cập nhật tiến độ định kỳ, cảnh báo sớm nguy cơ chậm</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ATLĐ, VSMT, PCCC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an toàn lao động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IV. GIÁM SÁT AN TOÀN LAO ĐỘNG VÀ VỆ SINH MÔI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vệ sinh môi trường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Mục đích lựa chọn nhà thầu Tư vấn giám sát thi công xây dựng và hoàn thiện; lắp đặt thiết bị, để quản lý các công tác xâ</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phòng cháy chữa cháy, phòng chống cháy nổ</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Phạm vi giám sát bao gồm: hạ tầng kỹ thuật; các nhà chức năng; cụm bể xử lý ASBR và nhà vận hành ASBR; bể gom, bể điều 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quản lý an toàn: nhận diện mối nguy, đánh giá rủi ro, biện pháp kiểm soát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Ứng phó tình huống khẩn cấp, quy trình đình chỉ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d) Đình chỉ thực hiện hoặc chấm dứt hợp đồng với TEXO theo quy định trong hợp đồng kinh tế và theo pháp luật.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Báo cáo, họp, trao đổi thông tin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Chế độ báo cáo (tuần, tháng, giai đoạn, hoàn thành, sự cố)</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Thời hạn nộp báo cáo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Tổ chức các cuộc họp, giao ban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Trao đổi thông tin, quản lý hồ sơ – tài liệu, thời hạn xử lý hồ sơ</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Nhật ký thi công xây dựng công trình là tài liệu gốc về thi công công trình (hay hạng mục công trình) nhằm trao đổi thôn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Tổ chức thực hiện đoàn TVGS</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Tổ chức thực hiện – nguyên tắc chung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NĂM: TỔ CHỨC THỰC HIỆN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Mô hình, sơ đồ tổ chức đoàn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Nhiệm vụ của TVGS trưởng và các kỹ sư giám sát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Bản vẽ hoàn công được TVGS Trưởng ký tên xác nhận.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Quan hệ của đoàn TVGS với Công ty, nội bộ và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Phân công / phân cấp trách nhiệm ký hồ sơ sản phẩm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Ma trận trách nhiệm phối hợp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XIX. MA TRẬN ĐIỂM KIỂM SOÁT TỐI THIỂU (ITP TÓM TẮT)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điều động, đánh giá, đào tạo nhân sự đoàn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Hệ thống đảm bảo chất lượng công tác giám sát (ISO 9001, kiểm soát nội bộ)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phòng ngừa sai sót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Đề cương giám sát chi tiết, biểu mẫu</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phần đề cương giám sát chi tiết theo từng công tác/hạng mục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BA: ĐỀ CƯƠNG GIÁM SÁT CHI TIẾT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Tiêu chuẩn được viện dẫn cho từng công tác (≥ 10 lượt TCVN/QCVN)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111 lượt viện dẫn TCVN/QCVN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Biểu mẫu hồ sơ (hoặc dẫn chiếu biểu mẫu dự án)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BIỂU MẪU BÁO CÁO TƯ VẤN GIÁM SÁT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Phiếu/bảng kiểm tra chi tiết (công việc kiểm tra – căn cứ – đánh giá) và sai số cho phép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Phiếu kiểm tra đối tượng nghiệm thu.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3. Hạng mục công tác – đề cương chi tiết</w:t>
      </w:r>
    </w:p>
    <w:tbl>
      <w:tblPr>
        <w:jc w:val="center"/>
        <w:tblLayout w:type="fixed"/>
        <w:tblLook w:firstColumn="1" w:firstRow="1" w:lastColumn="0" w:lastRow="0" w:noHBand="0" w:noVBand="1" w:val="04A0"/>
        <w:tblLayout w:type="fixed"/>
        <w:tblW w:w="9026" w:type="dxa"/>
      </w:tblPr>
      <w:tblGrid>
        <w:gridCol w:w="2800"/>
        <w:gridCol w:w="1250"/>
        <w:gridCol w:w="2700"/>
        <w:gridCol w:w="1026"/>
        <w:gridCol w:w="1250"/>
      </w:tblGrid>
      <w:tr>
        <w:trPr>
          <w:cantSplit w:val="true"/>
          <w:tblHeader w:val="true"/>
        </w:trPr>
        <w:tc>
          <w:tcPr>
            <w:tcW w:type="dxa" w:w="28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Hạng mục</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Nhóm</w:t>
            </w:r>
          </w:p>
        </w:tc>
        <w:tc>
          <w:tcPr>
            <w:tcW w:type="dxa" w:w="2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Hiện trạng / mục tìm thấy</w:t>
            </w:r>
          </w:p>
        </w:tc>
        <w:tc>
          <w:tcPr>
            <w:tcW w:type="dxa" w:w="1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Cần có</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vật liệu, thiết bị, sản phẩm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3. Kiểm tra và giám sát chất lượng vật tư, vật liệu và thiết bị lắp đặt vào công trình do NT thi công xây dựng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trắc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III. GIÁM SÁT TRẮC ĐỊA, ĐỊNH VỊ VÀ CAO ĐỘ CÔNG NGHỆ</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thí nghiệm cọc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kết cấu bê tông cốt thép toàn khối (cốp pha, cốt thép, bê tông)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chống thấm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VII. GIÁM SÁT CHỐNG THẤM, KHE/MẠCH NGỪNG VÀ THỬ KÍN BỂ</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xây, trát, ốp, lát, láng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đặt cửa gỗ</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Không có</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cơ điện – phần chung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ống luồn dây điện âm tường, âm sàn, đi nổi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Phạm vi giám sát bao gồm: hạ tầng kỹ thuật; các nhà chức năng; cụm bể xử lý ASBR và nhà vận hành ASBR; bể gom,</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máy phát điện dự phòng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Không có</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chống sét, tiếp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cấp thoát nước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Phạm vi giám sát bao gồm: hạ tầng kỹ thuật; các nhà chức năng; cụm bể xử lý ASBR và nhà vận hành ASBR; bể gom,</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thông gió, điều hòa không khí</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Phạm vi giám sát bao gồm: hạ tầng kỹ thuật; các nhà chức năng; cụm bể xử lý ASBR và nhà vận hành ASBR; bể gom,</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phòng cháy chữa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xử lý nước thải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Phần này áp dụng cho toàn bộ phạm vi thi công xây dựng, lắp đặt thiết bị và chạy thử thuộc Hợp đồng thi công 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hạ tầng kỹ thuật, đường giao thông, sân đường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Phạm vi giám sát bao gồm: hạ tầng kỹ thuật; các nhà chức năng; cụm bể xử lý ASBR và nhà vận hành ASBR; bể gom,</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đất: hố đào, hạ mực nước ngầm, đắp – lấp hoàn trả, san nền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IV. GIÁM SÁT CÔNG TÁC ĐẤT, HỐ ĐÀO, HẠ MỰC NƯỚC VÀ NỀN MÓNG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kết cấu BTCT bể công nghệ (bể chứa, bể xử lý)</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Phạm vi giám sát bao gồm: hạ tầng kỹ thuật; các nhà chức năng; cụm bể xử lý ASBR và nhà vận hành ASBR; bể gom,</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chống thấm, khe – mạch ngừng và thử kín bể</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VII. GIÁM SÁT CHỐNG THẤM, KHE/MẠCH NGỪNG VÀ THỬ KÍN BỂ</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đường ống công nghệ (HDPE, uPVC, thép, inox), thử áp, súc rửa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Phạm vi giám sát bao gồm: hạ tầng kỹ thuật; các nhà chức năng; cụm bể xử lý ASBR và nhà vận hành ASBR; bể gom,</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cơ khí – công nghệ (bơm, máy thổi khí, khuấy, hóa chất)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Kiểm tra các kết quả thử nghiệm, vận hành đồng bộ hệ thống máy móc thiết bị công nghệ.</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điện động lực, điều khiển, đo lường (MCC, PLC/SCADA, loop test)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Phạm vi giám sát bao gồm: hạ tầng kỹ thuật; các nhà chức năng; cụm bể xử lý ASBR và nhà vận hành ASBR; bể gom,</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hóa chất, không gian hạn chế, nâng hạ thiết bị</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Phạm vi giám sát bao gồm: hạ tầng kỹ thuật; các nhà chức năng; cụm bể xử lý ASBR và nhà vận hành ASBR; bể gom,</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commissioning và vận hành thử công nghệ</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Phạm vi giám sát bao gồm: hạ tầng kỹ thuật; các nhà chức năng; cụm bể xử lý ASBR và nhà vận hành ASBR; bể gom,</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Kiểm tra theo ma trận điểm kiểm soát tối thiểu (ITP tóm tắt) công trình công nghệ</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nghiệm thu và bàn giao đưa công trình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1.1 Kiểm tra, bàn giao mặt bằng: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lao động, PCCC, vệ sinh môi trường tại hiện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IV. GIÁM SÁT AN TOÀN LAO ĐỘNG VÀ VỆ SINH MÔI TRƯỜNG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4. Căn cứ pháp lý</w:t>
      </w:r>
    </w:p>
    <w:p>
      <w:pPr>
        <w:keepNext w:val="0"/>
        <w:spacing w:before="0" w:after="120" w:line="276" w:lineRule="auto"/>
        <w:jc w:val="both"/>
      </w:pPr>
      <w:r>
        <w:rPr>
          <w:rFonts w:ascii="Times New Roman" w:hAnsi="Times New Roman" w:cs="Times New Roman" w:eastAsia="Times New Roman"/>
          <w:b w:val="0"/>
          <w:i w:val="0"/>
          <w:sz w:val="22"/>
        </w:rPr>
        <w:t>Văn bản mới đã viện dẫn: Luật XD 135/2025 ✓, NĐ 207/2026 ✓, TT 32/2026 ✓, NĐ 217/2026 / 212/2026 ✓</w:t>
      </w:r>
    </w:p>
    <w:tbl>
      <w:tblPr>
        <w:jc w:val="center"/>
        <w:tblLayout w:type="fixed"/>
        <w:tblLook w:firstColumn="1" w:firstRow="1" w:lastColumn="0" w:lastRow="0" w:noHBand="0" w:noVBand="1" w:val="04A0"/>
        <w:tblLayout w:type="fixed"/>
        <w:tblW w:w="9026" w:type="dxa"/>
      </w:tblPr>
      <w:tblGrid>
        <w:gridCol w:w="2600"/>
        <w:gridCol w:w="650"/>
        <w:gridCol w:w="4526"/>
        <w:gridCol w:w="12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Văn bản</w:t>
            </w:r>
          </w:p>
        </w:tc>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lần</w:t>
            </w:r>
          </w:p>
        </w:tc>
        <w:tc>
          <w:tcPr>
            <w:tcW w:type="dxa" w:w="45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Đề xuất</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Xây dựng 50/2014/QH13</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sửa đổi Luật Xây dựng 62/2020/QH14</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175/2024/NĐ-CP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4453:1995</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5308:1991</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bl>
    <w:p>
      <w:pPr>
        <w:keepNext w:val="0"/>
        <w:spacing w:before="0" w:after="120" w:line="276" w:lineRule="auto"/>
        <w:jc w:val="both"/>
      </w:pPr>
      <w:r>
        <w:rPr>
          <w:rFonts w:ascii="Times New Roman" w:hAnsi="Times New Roman" w:cs="Times New Roman" w:eastAsia="Times New Roman"/>
          <w:b/>
          <w:i w:val="0"/>
          <w:color w:val="C00000"/>
          <w:sz w:val="20"/>
        </w:rPr>
        <w:t>Công cụ này chỉ dò theo danh mục văn bản theo dõi (cập nhật 2026-10-23). Bắt buộc rà soát toàn bộ văn bản pháp luật, tiêu chuẩn viện dẫn bằng công cụ TEXO Legal Reviewer trước khi trình ký để bảo đảm dùng phiên bản mới nhất.</w:t>
      </w: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5. Trình bày, thông tin dự án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mô tài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23.481 từ · 379 tiêu đề · 121 bảng · 39 hình/sơ đồ</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Tên dự án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ĐẦU TƯ XÂY DỰNG KHU ĐÔ THỊ ĐẠI HỌC NAM CAO ĐỊA PHẬN THÀNH PHỐ PHỦ LÝ</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 đầu tư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CÔNG TY TNHH LIÊN DOANH VIỆT-SK GROUP</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Nghi lẫn tên dự án/CĐT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Chỗ trống chờ điền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w:t>
            </w:r>
          </w:p>
        </w:tc>
      </w:tr>
    </w:tbl>
    <w:p>
      <w:pPr>
        <w:keepNext w:val="0"/>
        <w:spacing w:before="0" w:after="200" w:line="276" w:lineRule="auto"/>
        <w:jc w:val="both"/>
      </w:pPr>
    </w:p>
    <w:tbl>
      <w:tblPr>
        <w:jc w:val="center"/>
        <w:tblLayout w:type="fixed"/>
        <w:tblLook w:firstColumn="1" w:firstRow="1" w:lastColumn="0" w:lastRow="0" w:noHBand="0" w:noVBand="1" w:val="04A0"/>
        <w:tblLayout w:type="fixed"/>
        <w:tblW w:w="9026" w:type="dxa"/>
      </w:tblPr>
      <w:tblGrid>
        <w:gridCol w:w="3249"/>
        <w:gridCol w:w="5777"/>
      </w:tblGrid>
      <w:tr>
        <w:trPr>
          <w:cantSplit w:val="true"/>
        </w:trPr>
        <w:tc>
          <w:tcPr>
            <w:tcW w:type="dxa" w:w="3249"/>
            <w:vMerge w:val="restart"/>
            <w:tcBorders>
              <w:top w:val="nil"/>
              <w:left w:val="nil"/>
              <w:bottom w:val="nil"/>
              <w:right w:val="nil"/>
            </w:tcBorders>
            <w:tcMar>
              <w:top w:w="0" w:type="dxa"/>
              <w:left w:w="100" w:type="dxa"/>
              <w:bottom w:w="0" w:type="dxa"/>
              <w:right w:w="100" w:type="dxa"/>
            </w:tcMar>
          </w:tcPr>
          <w:p>
            <w:pPr>
              <w:spacing w:after="30" w:before="0" w:line="264" w:lineRule="auto"/>
              <w:jc w:val="left"/>
            </w:pPr>
            <w:r>
              <w:rPr>
                <w:rFonts w:ascii="Times New Roman" w:hAnsi="Times New Roman" w:cs="Times New Roman" w:eastAsia="Times New Roman"/>
                <w:b/>
                <w:i/>
                <w:sz w:val="22"/>
              </w:rPr>
              <w:t>Nơi nhận:</w:t>
            </w:r>
          </w:p>
          <w:p>
            <w:pPr>
              <w:spacing w:after="30" w:before="0" w:line="264" w:lineRule="auto"/>
              <w:jc w:val="left"/>
            </w:pPr>
            <w:r>
              <w:rPr>
                <w:rFonts w:ascii="Times New Roman" w:hAnsi="Times New Roman" w:cs="Times New Roman" w:eastAsia="Times New Roman"/>
                <w:b w:val="0"/>
                <w:i w:val="0"/>
                <w:sz w:val="20"/>
              </w:rPr>
              <w:t>- Trung tâm lập đề cương</w:t>
            </w:r>
          </w:p>
          <w:p>
            <w:pPr>
              <w:spacing w:after="30" w:before="0" w:line="264" w:lineRule="auto"/>
              <w:jc w:val="left"/>
            </w:pPr>
            <w:r>
              <w:rPr>
                <w:rFonts w:ascii="Times New Roman" w:hAnsi="Times New Roman" w:cs="Times New Roman" w:eastAsia="Times New Roman"/>
                <w:b w:val="0"/>
                <w:i w:val="0"/>
                <w:sz w:val="20"/>
              </w:rPr>
              <w:t>- Lưu P.KT</w:t>
            </w:r>
          </w:p>
        </w:tc>
        <w:tc>
          <w:tcPr>
            <w:tcW w:type="dxa" w:w="5777"/>
            <w:tcBorders>
              <w:top w:val="nil"/>
              <w:left w:val="nil"/>
              <w:bottom w:val="nil"/>
              <w:right w:val="nil"/>
            </w:tcBorders>
            <w:tcMar>
              <w:top w:w="0" w:type="dxa"/>
              <w:left w:w="100" w:type="dxa"/>
              <w:bottom w:w="0" w:type="dxa"/>
              <w:right w:w="100" w:type="dxa"/>
            </w:tcMar>
          </w:tcPr>
          <w:p>
            <w:pPr>
              <w:spacing w:after="80" w:before="0" w:line="264" w:lineRule="auto"/>
              <w:jc w:val="center"/>
            </w:pPr>
            <w:r>
              <w:rPr>
                <w:rFonts w:ascii="Times New Roman" w:hAnsi="Times New Roman" w:cs="Times New Roman" w:eastAsia="Times New Roman"/>
                <w:b w:val="0"/>
                <w:i/>
                <w:sz w:val="22"/>
              </w:rPr>
              <w:t>Hà Nội, ngày 23 tháng 10 năm 2026</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TRƯỞNG PHÒNG</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KỸ THUẬT</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val="0"/>
                <w:i/>
                <w:color w:val="595959"/>
                <w:sz w:val="20"/>
              </w:rPr>
              <w:t>(Ký, ghi rõ họ tên)</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960" w:before="0" w:line="264" w:lineRule="auto"/>
              <w:jc w:val="left"/>
            </w:pP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4"/>
              </w:rPr>
              <w:t>Hoàng Đức Vũ</w:t>
            </w:r>
          </w:p>
        </w:tc>
      </w:tr>
    </w:tbl>
    <w:sectPr w:rsidR="00FC693F" w:rsidRPr="0006063C" w:rsidSect="00034616">
      <w:headerReference w:type="default" r:id="rId9"/>
      <w:footerReference w:type="default" r:id="rId10"/>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Tài liệu nội bộ · Phiếu kiểm tra đề cương TVGS</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PHÒNG KỸ THUẬT</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PHIẾU KIỂM TRA ĐỀ CƯƠNG TVGS</w:t>
          </w:r>
        </w:p>
        <w:p>
          <w:pPr>
            <w:spacing w:after="40" w:before="0" w:line="264" w:lineRule="auto"/>
            <w:jc w:val="right"/>
          </w:pPr>
          <w:r>
            <w:rPr>
              <w:rFonts w:ascii="Times New Roman" w:hAnsi="Times New Roman" w:cs="Times New Roman" w:eastAsia="Times New Roman"/>
              <w:b w:val="0"/>
              <w:i/>
              <w:color w:val="595959"/>
              <w:sz w:val="16"/>
            </w:rPr>
            <w:t>TT6 DE-CUONG-GIAM-SAT-TEXO-Tram-XLNT</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