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40" w:line="276" w:lineRule="auto"/>
        <w:jc w:val="center"/>
      </w:pPr>
      <w:r>
        <w:rPr>
          <w:rFonts w:ascii="Times New Roman" w:hAnsi="Times New Roman" w:cs="Times New Roman" w:eastAsia="Times New Roman"/>
          <w:b/>
          <w:i w:val="0"/>
          <w:color w:val="1F3864"/>
          <w:sz w:val="32"/>
        </w:rPr>
        <w:t>PHIẾU KIỂM TRA ĐỀ CƯƠNG TƯ VẤN GIÁM SÁT</w:t>
      </w:r>
    </w:p>
    <w:p>
      <w:pPr>
        <w:keepNext w:val="0"/>
        <w:spacing w:before="0" w:after="160" w:line="276" w:lineRule="auto"/>
        <w:jc w:val="center"/>
      </w:pPr>
      <w:r>
        <w:rPr>
          <w:rFonts w:ascii="Times New Roman" w:hAnsi="Times New Roman" w:cs="Times New Roman" w:eastAsia="Times New Roman"/>
          <w:b w:val="0"/>
          <w:i/>
          <w:color w:val="595959"/>
          <w:sz w:val="24"/>
        </w:rPr>
        <w:t>TT6 De cuong GS coc ep</w:t>
      </w:r>
    </w:p>
    <w:tbl>
      <w:tblPr>
        <w:jc w:val="center"/>
        <w:tblLayout w:type="fixed"/>
        <w:tblLook w:firstColumn="1" w:firstRow="1" w:lastColumn="0" w:lastRow="0" w:noHBand="0" w:noVBand="1" w:val="04A0"/>
        <w:tblLayout w:type="fixed"/>
        <w:tblW w:w="9026" w:type="dxa"/>
      </w:tblPr>
      <w:tblGrid>
        <w:gridCol w:w="2708"/>
        <w:gridCol w:w="6318"/>
      </w:tblGrid>
      <w:tr>
        <w:trPr>
          <w:cantSplit w:val="true"/>
        </w:trPr>
        <w:tc>
          <w:tcPr>
            <w:tcW w:type="dxa" w:w="270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Đề cương / dự án</w:t>
            </w:r>
          </w:p>
        </w:tc>
        <w:tc>
          <w:tcPr>
            <w:tcW w:type="dxa" w:w="631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TT6 De cuong GS coc ep</w:t>
            </w:r>
          </w:p>
        </w:tc>
      </w:tr>
      <w:tr>
        <w:trPr>
          <w:cantSplit w:val="true"/>
        </w:trPr>
        <w:tc>
          <w:tcPr>
            <w:tcW w:type="dxa" w:w="270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Đơn vị lập</w:t>
            </w:r>
          </w:p>
        </w:tc>
        <w:tc>
          <w:tcPr>
            <w:tcW w:type="dxa" w:w="631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Trung tâm 06</w:t>
            </w:r>
          </w:p>
        </w:tc>
      </w:tr>
      <w:tr>
        <w:trPr>
          <w:cantSplit w:val="true"/>
        </w:trPr>
        <w:tc>
          <w:tcPr>
            <w:tcW w:type="dxa" w:w="270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File kiểm tra</w:t>
            </w:r>
          </w:p>
        </w:tc>
        <w:tc>
          <w:tcPr>
            <w:tcW w:type="dxa" w:w="631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TT6 De cuong GS coc ep.docx</w:t>
            </w:r>
          </w:p>
        </w:tc>
      </w:tr>
      <w:tr>
        <w:trPr>
          <w:cantSplit w:val="true"/>
        </w:trPr>
        <w:tc>
          <w:tcPr>
            <w:tcW w:type="dxa" w:w="270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Mẫu áp dụng</w:t>
            </w:r>
          </w:p>
        </w:tc>
        <w:tc>
          <w:tcPr>
            <w:tcW w:type="dxa" w:w="631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Cơ bản (công cụ tự nhận: Cơ bản)</w:t>
            </w:r>
          </w:p>
        </w:tc>
      </w:tr>
      <w:tr>
        <w:trPr>
          <w:cantSplit w:val="true"/>
        </w:trPr>
        <w:tc>
          <w:tcPr>
            <w:tcW w:type="dxa" w:w="270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Thời điểm lập đề cương</w:t>
            </w:r>
          </w:p>
        </w:tc>
        <w:tc>
          <w:tcPr>
            <w:tcW w:type="dxa" w:w="631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Không xác định trên bìa</w:t>
            </w:r>
          </w:p>
        </w:tc>
      </w:tr>
      <w:tr>
        <w:trPr>
          <w:cantSplit w:val="true"/>
        </w:trPr>
        <w:tc>
          <w:tcPr>
            <w:tcW w:type="dxa" w:w="270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Ngày kiểm tra</w:t>
            </w:r>
          </w:p>
        </w:tc>
        <w:tc>
          <w:tcPr>
            <w:tcW w:type="dxa" w:w="631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23/10/2026</w:t>
            </w:r>
          </w:p>
        </w:tc>
      </w:tr>
    </w:tbl>
    <w:p>
      <w:pPr>
        <w:keepNext w:val="0"/>
        <w:spacing w:before="0" w:after="120" w:line="276" w:lineRule="auto"/>
        <w:jc w:val="both"/>
      </w:pPr>
    </w:p>
    <w:tbl>
      <w:tblPr>
        <w:jc w:val="center"/>
        <w:tblLayout w:type="fixed"/>
        <w:tblLook w:firstColumn="1" w:firstRow="1" w:lastColumn="0" w:lastRow="0" w:noHBand="0" w:noVBand="1" w:val="04A0"/>
        <w:tblLayout w:type="fixed"/>
        <w:tblW w:w="9026" w:type="dxa"/>
      </w:tblPr>
      <w:tblGrid>
        <w:gridCol w:w="2151"/>
        <w:gridCol w:w="140"/>
        <w:gridCol w:w="2151"/>
        <w:gridCol w:w="140"/>
        <w:gridCol w:w="2151"/>
        <w:gridCol w:w="140"/>
        <w:gridCol w:w="2153"/>
      </w:tblGrid>
      <w:tr>
        <w:trPr>
          <w:cantSplit w:val="true"/>
        </w:trPr>
        <w:tc>
          <w:tcPr>
            <w:tcW w:type="dxa" w:w="2151"/>
            <w:tcBorders>
              <w:top w:val="single" w:sz="24" w:color="C45911"/>
              <w:left w:val="nil"/>
              <w:bottom w:val="nil"/>
              <w:right w:val="nil"/>
            </w:tcBorders>
            <w:shd w:val="clear" w:color="auto" w:fill="FFF1DE"/>
            <w:tcMar>
              <w:top w:w="80" w:type="dxa"/>
              <w:left w:w="100" w:type="dxa"/>
              <w:bottom w:w="80" w:type="dxa"/>
              <w:right w:w="100" w:type="dxa"/>
            </w:tcMar>
          </w:tcPr>
          <w:p>
            <w:pPr>
              <w:spacing w:after="0" w:before="0" w:line="264" w:lineRule="auto"/>
              <w:jc w:val="center"/>
            </w:pPr>
            <w:r>
              <w:rPr>
                <w:rFonts w:ascii="Times New Roman" w:hAnsi="Times New Roman" w:cs="Times New Roman" w:eastAsia="Times New Roman"/>
                <w:b/>
                <w:i w:val="0"/>
                <w:color w:val="C45911"/>
                <w:sz w:val="44"/>
              </w:rPr>
              <w:t>94</w:t>
            </w:r>
          </w:p>
          <w:p>
            <w:pPr>
              <w:spacing w:after="20" w:before="0" w:line="264" w:lineRule="auto"/>
              <w:jc w:val="center"/>
            </w:pPr>
            <w:r>
              <w:rPr>
                <w:rFonts w:ascii="Times New Roman" w:hAnsi="Times New Roman" w:cs="Times New Roman" w:eastAsia="Times New Roman"/>
                <w:b/>
                <w:i w:val="0"/>
                <w:color w:val="1F3864"/>
                <w:sz w:val="21"/>
              </w:rPr>
              <w:t>Điểm khung</w:t>
            </w:r>
          </w:p>
          <w:p>
            <w:pPr>
              <w:spacing w:after="40" w:before="0" w:line="264" w:lineRule="auto"/>
              <w:jc w:val="center"/>
            </w:pPr>
            <w:r>
              <w:rPr>
                <w:rFonts w:ascii="Times New Roman" w:hAnsi="Times New Roman" w:cs="Times New Roman" w:eastAsia="Times New Roman"/>
                <w:b w:val="0"/>
                <w:i/>
                <w:color w:val="595959"/>
                <w:sz w:val="18"/>
              </w:rPr>
              <w:t>/100 theo mẫu Cơ bản</w:t>
            </w:r>
          </w:p>
        </w:tc>
        <w:tc>
          <w:tcPr>
            <w:tcW w:type="dxa" w:w="140"/>
            <w:tcBorders>
              <w:top w:val="nil"/>
              <w:left w:val="nil"/>
              <w:bottom w:val="nil"/>
              <w:right w:val="nil"/>
            </w:tcBorders>
          </w:tcPr>
          <w:p/>
        </w:tc>
        <w:tc>
          <w:tcPr>
            <w:tcW w:type="dxa" w:w="2151"/>
            <w:tcBorders>
              <w:top w:val="single" w:sz="24" w:color="C00000"/>
              <w:left w:val="nil"/>
              <w:bottom w:val="nil"/>
              <w:right w:val="nil"/>
            </w:tcBorders>
            <w:shd w:val="clear" w:color="auto" w:fill="FDE4E1"/>
            <w:tcMar>
              <w:top w:w="80" w:type="dxa"/>
              <w:left w:w="100" w:type="dxa"/>
              <w:bottom w:w="80" w:type="dxa"/>
              <w:right w:w="100" w:type="dxa"/>
            </w:tcMar>
          </w:tcPr>
          <w:p>
            <w:pPr>
              <w:spacing w:after="0" w:before="0" w:line="264" w:lineRule="auto"/>
              <w:jc w:val="center"/>
            </w:pPr>
            <w:r>
              <w:rPr>
                <w:rFonts w:ascii="Times New Roman" w:hAnsi="Times New Roman" w:cs="Times New Roman" w:eastAsia="Times New Roman"/>
                <w:b/>
                <w:i w:val="0"/>
                <w:color w:val="C00000"/>
                <w:sz w:val="44"/>
              </w:rPr>
              <w:t>5</w:t>
            </w:r>
          </w:p>
          <w:p>
            <w:pPr>
              <w:spacing w:after="20" w:before="0" w:line="264" w:lineRule="auto"/>
              <w:jc w:val="center"/>
            </w:pPr>
            <w:r>
              <w:rPr>
                <w:rFonts w:ascii="Times New Roman" w:hAnsi="Times New Roman" w:cs="Times New Roman" w:eastAsia="Times New Roman"/>
                <w:b/>
                <w:i w:val="0"/>
                <w:color w:val="1F3864"/>
                <w:sz w:val="21"/>
              </w:rPr>
              <w:t>Phải xử lý</w:t>
            </w:r>
          </w:p>
          <w:p>
            <w:pPr>
              <w:spacing w:after="40" w:before="0" w:line="264" w:lineRule="auto"/>
              <w:jc w:val="center"/>
            </w:pPr>
            <w:r>
              <w:rPr>
                <w:rFonts w:ascii="Times New Roman" w:hAnsi="Times New Roman" w:cs="Times New Roman" w:eastAsia="Times New Roman"/>
                <w:b w:val="0"/>
                <w:i/>
                <w:color w:val="595959"/>
                <w:sz w:val="18"/>
              </w:rPr>
              <w:t>trước khi trình ký</w:t>
            </w:r>
          </w:p>
        </w:tc>
        <w:tc>
          <w:tcPr>
            <w:tcW w:type="dxa" w:w="140"/>
            <w:tcBorders>
              <w:top w:val="nil"/>
              <w:left w:val="nil"/>
              <w:bottom w:val="nil"/>
              <w:right w:val="nil"/>
            </w:tcBorders>
          </w:tcPr>
          <w:p/>
        </w:tc>
        <w:tc>
          <w:tcPr>
            <w:tcW w:type="dxa" w:w="2151"/>
            <w:tcBorders>
              <w:top w:val="single" w:sz="24" w:color="2E5496"/>
              <w:left w:val="nil"/>
              <w:bottom w:val="nil"/>
              <w:right w:val="nil"/>
            </w:tcBorders>
            <w:shd w:val="clear" w:color="auto" w:fill="D9E1F2"/>
            <w:tcMar>
              <w:top w:w="80" w:type="dxa"/>
              <w:left w:w="100" w:type="dxa"/>
              <w:bottom w:w="80" w:type="dxa"/>
              <w:right w:w="100" w:type="dxa"/>
            </w:tcMar>
          </w:tcPr>
          <w:p>
            <w:pPr>
              <w:spacing w:after="0" w:before="0" w:line="264" w:lineRule="auto"/>
              <w:jc w:val="center"/>
            </w:pPr>
            <w:r>
              <w:rPr>
                <w:rFonts w:ascii="Times New Roman" w:hAnsi="Times New Roman" w:cs="Times New Roman" w:eastAsia="Times New Roman"/>
                <w:b/>
                <w:i w:val="0"/>
                <w:color w:val="2E5496"/>
                <w:sz w:val="44"/>
              </w:rPr>
              <w:t>8</w:t>
            </w:r>
          </w:p>
          <w:p>
            <w:pPr>
              <w:spacing w:after="20" w:before="0" w:line="264" w:lineRule="auto"/>
              <w:jc w:val="center"/>
            </w:pPr>
            <w:r>
              <w:rPr>
                <w:rFonts w:ascii="Times New Roman" w:hAnsi="Times New Roman" w:cs="Times New Roman" w:eastAsia="Times New Roman"/>
                <w:b/>
                <w:i w:val="0"/>
                <w:color w:val="1F3864"/>
                <w:sz w:val="21"/>
              </w:rPr>
              <w:t>Hạng mục chi tiết</w:t>
            </w:r>
          </w:p>
          <w:p>
            <w:pPr>
              <w:spacing w:after="40" w:before="0" w:line="264" w:lineRule="auto"/>
              <w:jc w:val="center"/>
            </w:pPr>
            <w:r>
              <w:rPr>
                <w:rFonts w:ascii="Times New Roman" w:hAnsi="Times New Roman" w:cs="Times New Roman" w:eastAsia="Times New Roman"/>
                <w:b w:val="0"/>
                <w:i/>
                <w:color w:val="595959"/>
                <w:sz w:val="18"/>
              </w:rPr>
              <w:t>có mục giám sát riêng</w:t>
            </w:r>
          </w:p>
        </w:tc>
        <w:tc>
          <w:tcPr>
            <w:tcW w:type="dxa" w:w="140"/>
            <w:tcBorders>
              <w:top w:val="nil"/>
              <w:left w:val="nil"/>
              <w:bottom w:val="nil"/>
              <w:right w:val="nil"/>
            </w:tcBorders>
          </w:tcPr>
          <w:p/>
        </w:tc>
        <w:tc>
          <w:tcPr>
            <w:tcW w:type="dxa" w:w="2153"/>
            <w:tcBorders>
              <w:top w:val="single" w:sz="24" w:color="2E7D32"/>
              <w:left w:val="nil"/>
              <w:bottom w:val="nil"/>
              <w:right w:val="nil"/>
            </w:tcBorders>
            <w:shd w:val="clear" w:color="auto" w:fill="E4F3E6"/>
            <w:tcMar>
              <w:top w:w="80" w:type="dxa"/>
              <w:left w:w="100" w:type="dxa"/>
              <w:bottom w:w="80" w:type="dxa"/>
              <w:right w:w="100" w:type="dxa"/>
            </w:tcMar>
          </w:tcPr>
          <w:p>
            <w:pPr>
              <w:spacing w:after="0" w:before="0" w:line="264" w:lineRule="auto"/>
              <w:jc w:val="center"/>
            </w:pPr>
            <w:r>
              <w:rPr>
                <w:rFonts w:ascii="Times New Roman" w:hAnsi="Times New Roman" w:cs="Times New Roman" w:eastAsia="Times New Roman"/>
                <w:b/>
                <w:i w:val="0"/>
                <w:color w:val="2E7D32"/>
                <w:sz w:val="44"/>
              </w:rPr>
              <w:t>0</w:t>
            </w:r>
          </w:p>
          <w:p>
            <w:pPr>
              <w:spacing w:after="20" w:before="0" w:line="264" w:lineRule="auto"/>
              <w:jc w:val="center"/>
            </w:pPr>
            <w:r>
              <w:rPr>
                <w:rFonts w:ascii="Times New Roman" w:hAnsi="Times New Roman" w:cs="Times New Roman" w:eastAsia="Times New Roman"/>
                <w:b/>
                <w:i w:val="0"/>
                <w:color w:val="1F3864"/>
                <w:sz w:val="21"/>
              </w:rPr>
              <w:t>Căn cứ hết hiệu lực</w:t>
            </w:r>
          </w:p>
          <w:p>
            <w:pPr>
              <w:spacing w:after="40" w:before="0" w:line="264" w:lineRule="auto"/>
              <w:jc w:val="center"/>
            </w:pPr>
            <w:r>
              <w:rPr>
                <w:rFonts w:ascii="Times New Roman" w:hAnsi="Times New Roman" w:cs="Times New Roman" w:eastAsia="Times New Roman"/>
                <w:b w:val="0"/>
                <w:i/>
                <w:color w:val="595959"/>
                <w:sz w:val="18"/>
              </w:rPr>
              <w:t>loại văn bản</w:t>
            </w:r>
          </w:p>
        </w:tc>
      </w:tr>
    </w:tbl>
    <w:p>
      <w:pPr>
        <w:keepNext w:val="0"/>
        <w:spacing w:before="0" w:after="120" w:line="276" w:lineRule="auto"/>
        <w:jc w:val="both"/>
      </w:pPr>
    </w:p>
    <w:tbl>
      <w:tblPr>
        <w:jc w:val="center"/>
        <w:tblLayout w:type="fixed"/>
        <w:tblLook w:firstColumn="1" w:firstRow="1" w:lastColumn="0" w:lastRow="0" w:noHBand="0" w:noVBand="1" w:val="04A0"/>
        <w:tblLayout w:type="fixed"/>
        <w:tblW w:w="9026" w:type="dxa"/>
      </w:tblPr>
      <w:tblGrid>
        <w:gridCol w:w="9026"/>
      </w:tblGrid>
      <w:tr>
        <w:trPr>
          <w:cantSplit w:val="true"/>
        </w:trPr>
        <w:tc>
          <w:tcPr>
            <w:tcW w:type="dxa" w:w="9026"/>
            <w:tcBorders>
              <w:top w:val="nil"/>
              <w:left w:val="single" w:sz="36" w:color="C45911"/>
              <w:bottom w:val="nil"/>
              <w:right w:val="nil"/>
            </w:tcBorders>
            <w:shd w:val="clear" w:color="auto" w:fill="FFF1DE"/>
            <w:tcMar>
              <w:top w:w="120" w:type="dxa"/>
              <w:left w:w="160" w:type="dxa"/>
              <w:bottom w:w="120" w:type="dxa"/>
              <w:right w:w="140" w:type="dxa"/>
            </w:tcMar>
          </w:tcPr>
          <w:p>
            <w:pPr>
              <w:spacing w:after="60" w:before="0" w:line="264" w:lineRule="auto"/>
              <w:jc w:val="left"/>
            </w:pPr>
            <w:r>
              <w:rPr>
                <w:rFonts w:ascii="Times New Roman" w:hAnsi="Times New Roman" w:cs="Times New Roman" w:eastAsia="Times New Roman"/>
                <w:b/>
                <w:i w:val="0"/>
                <w:color w:val="C45911"/>
                <w:sz w:val="23"/>
              </w:rPr>
              <w:t>KẾT LUẬN</w:t>
            </w:r>
          </w:p>
          <w:p>
            <w:pPr>
              <w:spacing w:after="40" w:before="0" w:line="288" w:lineRule="auto"/>
              <w:jc w:val="both"/>
            </w:pPr>
            <w:r>
              <w:rPr>
                <w:rFonts w:ascii="Times New Roman" w:hAnsi="Times New Roman" w:cs="Times New Roman" w:eastAsia="Times New Roman"/>
                <w:b w:val="0"/>
                <w:i w:val="0"/>
                <w:sz w:val="23"/>
              </w:rPr>
              <w:t>Kết luận: Cần chỉnh sửa, bổ sung trước khi trình ký.</w:t>
            </w:r>
          </w:p>
          <w:p>
            <w:pPr>
              <w:spacing w:after="40" w:before="0" w:line="288" w:lineRule="auto"/>
              <w:jc w:val="both"/>
            </w:pPr>
            <w:r>
              <w:rPr>
                <w:rFonts w:ascii="Times New Roman" w:hAnsi="Times New Roman" w:cs="Times New Roman" w:eastAsia="Times New Roman"/>
                <w:b w:val="0"/>
                <w:i w:val="0"/>
                <w:sz w:val="23"/>
              </w:rPr>
              <w:t>Các việc cần xử lý chính: BC02 – Thời hạn nộp báo cáo; BC03 – Tổ chức các cuộc họp, giao ban; Hạng mục: Giám sát kết cấu bê tông cốt thép toàn khối (cốp pha, cốt thép, bê tông); Hạng mục: Giám sát gia công, lắp đặt cửa gỗ; Hạng mục: Giám sát thi công cảnh quan, cây xanh.</w:t>
            </w:r>
          </w:p>
          <w:p>
            <w:pPr>
              <w:spacing w:after="40" w:before="0" w:line="288" w:lineRule="auto"/>
              <w:jc w:val="both"/>
            </w:pPr>
            <w:r>
              <w:rPr>
                <w:rFonts w:ascii="Times New Roman" w:hAnsi="Times New Roman" w:cs="Times New Roman" w:eastAsia="Times New Roman"/>
                <w:b w:val="0"/>
                <w:i w:val="0"/>
                <w:sz w:val="23"/>
              </w:rPr>
              <w:t>Lưu ý bắt buộc: trước khi trình ký, rà soát văn bản pháp luật, tiêu chuẩn viện dẫn bằng công cụ TEXO Legal Reviewer để bảo đảm dùng phiên bản mới nhất.</w:t>
            </w:r>
          </w:p>
        </w:tc>
      </w:tr>
    </w:tbl>
    <w:p>
      <w:pPr>
        <w:keepNext w:val="0"/>
        <w:spacing w:before="0" w:after="160" w:line="276" w:lineRule="auto"/>
        <w:jc w:val="both"/>
      </w:pPr>
    </w:p>
    <w:p>
      <w:pPr>
        <w:keepNext/>
        <w:spacing w:before="280" w:after="140" w:line="276" w:lineRule="auto"/>
        <w:jc w:val="left"/>
        <w:pBdr>
          <w:bottom w:val="single" w:sz="8" w:space="2" w:color="2E5496"/>
        </w:pBdr>
      </w:pPr>
      <w:r>
        <w:rPr>
          <w:rFonts w:ascii="Times New Roman" w:hAnsi="Times New Roman" w:cs="Times New Roman" w:eastAsia="Times New Roman"/>
          <w:b/>
          <w:i w:val="0"/>
          <w:color w:val="1F3864"/>
          <w:sz w:val="28"/>
        </w:rPr>
        <w:t>1. Việc cần xử lý trước khi trình ký</w:t>
      </w:r>
    </w:p>
    <w:tbl>
      <w:tblPr>
        <w:jc w:val="center"/>
        <w:tblLayout w:type="fixed"/>
        <w:tblLook w:firstColumn="1" w:firstRow="1" w:lastColumn="0" w:lastRow="0" w:noHBand="0" w:noVBand="1" w:val="04A0"/>
        <w:tblLayout w:type="fixed"/>
        <w:tblW w:w="9026" w:type="dxa"/>
      </w:tblPr>
      <w:tblGrid>
        <w:gridCol w:w="450"/>
        <w:gridCol w:w="2900"/>
        <w:gridCol w:w="2200"/>
        <w:gridCol w:w="2226"/>
        <w:gridCol w:w="1250"/>
      </w:tblGrid>
      <w:tr>
        <w:trPr>
          <w:cantSplit w:val="true"/>
          <w:tblHeader w:val="true"/>
        </w:trPr>
        <w:tc>
          <w:tcPr>
            <w:tcW w:type="dxa" w:w="4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w:t>
            </w:r>
          </w:p>
        </w:tc>
        <w:tc>
          <w:tcPr>
            <w:tcW w:type="dxa" w:w="29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Nội dung</w:t>
            </w:r>
          </w:p>
        </w:tc>
        <w:tc>
          <w:tcPr>
            <w:tcW w:type="dxa" w:w="22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Hiện trạng</w:t>
            </w:r>
          </w:p>
        </w:tc>
        <w:tc>
          <w:tcPr>
            <w:tcW w:type="dxa" w:w="22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Yêu cầu sửa</w:t>
            </w:r>
          </w:p>
        </w:tc>
        <w:tc>
          <w:tcPr>
            <w:tcW w:type="dxa" w:w="12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Mức độ</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1</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BC02 – Thời hạn nộp báo cáo</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Thiếu</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Bổ sung mục riêng theo khung chuẩn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2</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BC03 – Tổ chức các cuộc họp, giao ban</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Thiếu</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Bổ sung mục riêng theo khung chuẩn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3</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Hạng mục: Giám sát kết cấu bê tông cốt thép toàn khối (cốp pha, cốt thép, bê tông)</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Không có</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Bổ sung mục giám sát chi tiết (bảng nội dung – phương pháp – tiêu chuẩn – hồ sơ)</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4</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Hạng mục: Giám sát gia công, lắp đặt cửa gỗ</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Không có</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Bổ sung mục giám sát chi tiết (bảng nội dung – phương pháp – tiêu chuẩn – hồ sơ)</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5</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Hạng mục: Giám sát thi công cảnh quan, cây xanh</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Không có</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Bổ sung mục giám sát chi tiết (bảng nội dung – phương pháp – tiêu chuẩn – hồ sơ)</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6</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CL14 – Phát hiện sai sót, bất hợp lý của thiết kế</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Nhắc 1 lần trong thân bài, chưa có tiêu đề riêng</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Tách thành tiêu đề riêng, viết đầy đủ nội dung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7</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TD02 – Biện pháp khắc phục chậm tiến độ, đẩy nhanh tiến độ</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Nhắc 14 lần trong thân bài, chưa có tiêu đề riêng</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Tách thành tiêu đề riêng, viết đầy đủ nội dung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8</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Hạng mục: Giám sát thi công cáp dự ứng lực</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Có nhắc, chưa thành mục chi tiết</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Bổ sung mục giám sát chi tiết (bảng nội dung – phương pháp – tiêu chuẩn – hồ sơ)</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bl>
    <w:p>
      <w:pPr>
        <w:keepNext/>
        <w:spacing w:before="280" w:after="140" w:line="276" w:lineRule="auto"/>
        <w:jc w:val="left"/>
        <w:pBdr>
          <w:bottom w:val="single" w:sz="8" w:space="2" w:color="2E5496"/>
        </w:pBdr>
      </w:pPr>
      <w:r>
        <w:rPr>
          <w:rFonts w:ascii="Times New Roman" w:hAnsi="Times New Roman" w:cs="Times New Roman" w:eastAsia="Times New Roman"/>
          <w:b/>
          <w:i w:val="0"/>
          <w:color w:val="1F3864"/>
          <w:sz w:val="28"/>
        </w:rPr>
        <w:t>2. Đối chiếu khung chuẩn đề cương TVGS</w:t>
      </w:r>
    </w:p>
    <w:tbl>
      <w:tblPr>
        <w:jc w:val="center"/>
        <w:tblLayout w:type="fixed"/>
        <w:tblLook w:firstColumn="1" w:firstRow="1" w:lastColumn="0" w:lastRow="0" w:noHBand="0" w:noVBand="1" w:val="04A0"/>
        <w:tblLayout w:type="fixed"/>
        <w:tblW w:w="9026" w:type="dxa"/>
      </w:tblPr>
      <w:tblGrid>
        <w:gridCol w:w="650"/>
        <w:gridCol w:w="3200"/>
        <w:gridCol w:w="900"/>
        <w:gridCol w:w="3026"/>
        <w:gridCol w:w="1250"/>
      </w:tblGrid>
      <w:tr>
        <w:trPr>
          <w:cantSplit w:val="true"/>
          <w:tblHeader w:val="true"/>
        </w:trPr>
        <w:tc>
          <w:tcPr>
            <w:tcW w:type="dxa" w:w="6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Mã</w:t>
            </w:r>
          </w:p>
        </w:tc>
        <w:tc>
          <w:tcPr>
            <w:tcW w:type="dxa" w:w="32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Tiêu chí</w:t>
            </w:r>
          </w:p>
        </w:tc>
        <w:tc>
          <w:tcPr>
            <w:tcW w:type="dxa" w:w="9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Cấp</w:t>
            </w:r>
          </w:p>
        </w:tc>
        <w:tc>
          <w:tcPr>
            <w:tcW w:type="dxa" w:w="3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Kết quả / bằng chứng</w:t>
            </w:r>
          </w:p>
        </w:tc>
        <w:tc>
          <w:tcPr>
            <w:tcW w:type="dxa" w:w="12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Mức độ</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Hình thức, bố cục</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HT01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Bìa đủ thông tin: Dự án, Công trình/Gói thầu, Địa điểm, Chủ đầu tư, Đơn vị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Có: Dự án, Công trình/Gói thầu, Địa điểm, Chủ đầu tư, Đơn vị TVGS</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HT02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Tờ lót có ô ký Chủ đầu tư phê duyệt và Đại diện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Có ô ký CĐT phê duyệt / TVGS</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HT03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Mục lục</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MỤC LỤC</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HT04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Bảng từ ngữ viết tắt</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HT05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Khổ giấy A4</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Khổ 21.0 × 29.7 cm</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HT06</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Tài liệu phát hành chỉ mang tên Công ty TEXO – không nêu đơn vị nội bộ (Trung tâm, VPĐT…)</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Không nêu đơn vị nội bộ</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Thông tin dự án, phạm vi công việc</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TC01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Thông tin dự án, công trình, gói thầu, địa điểm, chủ đầu tư</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A. THÔNG TIN VỀ DỰ ÁN VÀ PHẠM VI GÓI THẦU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TC02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Quy mô, loại – cấp công trình, giải pháp thiết kế chính</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1.</w:t>
              <w:tab/>
              <w:t>Đánh giá sự phù hợp về quy mô, công năng của công trình</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TC03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Phạm vi công việc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A. THÔNG TIN VỀ DỰ ÁN VÀ PHẠM VI GÓI THẦU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TC04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Sản phẩm của gói thầu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TC05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Các bên tham gia dự án / hồ sơ dữ liệu đầu vào</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Phân chia giai đoạn thi công xây dựng được thống nhất bởi CĐT và các bên tham gia để phù hợp với yêu cầu của dự án.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Cơ sở thực hiện, vai trò các bên</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CS01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Cơ sở thực hiện: văn bản pháp luật hiện hành</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I. CƠ SỞ THỰC HIỆN CÔNG TÁC GIÁM SÁT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CS02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Hợp đồng TVGS, hồ sơ thiết kế, hợp đồng thi công – căn cứ của gói thầu</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Phần A Hồ sơ pháp lý: Do CĐT, tư vấn quản lý dự án thực hiện, KS TVGS TEXO có trách nhiệm nhắc nhở CĐT, tư vấn quản lý d</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CS03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Danh mục quy chuẩn, tiêu chuẩn áp dụng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Hệ thống tiêu chuẩn xây dựng áp dụng cho công tác nghiệm thu dựa trên hệ thống tiêu chuẩn áp dụng cho dự án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CS04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Vai trò, quyền và nghĩa vụ của Chủ đầu tư và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II. VAI TRÒ, TRÁCH NHIỆM CỦA CÁC BÊN LIÊN QUAN TRONG DỰ ÁN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CS05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Quyền, nghĩa vụ / quan hệ với TVTK và nhà thầu thi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5.3 Quan hệ giữa TEXO  với nhà thầu thiết kế:</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Giám sát chất lượng</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Kiểm tra điều kiện khởi công, công tác chuẩn bị thi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BÁO CÁO TƯ VẤN GIÁM SÁT VỀ ĐIỀU KIỆN KHỞI CÔNG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Kiểm tra sự phù hợp năng lực nhà thầu (nhân lực, thiết bị)</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2. Kiểm tra sự phù hợp năng lực của NT thi công xây dựng công trình với hồ sơ dự thầu và hợp đồng xây dựng. Bao gồm:</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Kiểm tra hệ thống quản lý chất lượng của nhà thầu</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2.2. Kiểm tra hệ thống quản lý chất lượng của NT thi công xây dựng công trình.</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Kiểm tra phòng thí nghiệm, cơ sở sản xuất vật liệu</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2.4. Kiểm tra phòng thí nghiệm và các cơ sở sản xuất vật liệu, cấu kiện, sản phẩm xây dựng phục vụ thi công xây dựng côn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Kiểm tra, nghiệm thu vật liệu, sản phẩm, thiết bị đầu vào</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3. Kiểm tra và giám sát chất lượng vật tư, vật liệu và thiết bị lắp đặt vào công trình do NT thi công xây dựng công trìn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CL06</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Kiểm tra biện pháp thi công của nhà thầu</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4.1. Kiểm tra biện pháp thi công của NT thi công xây dựng công trình so với hồ sơ dự thầu đã được CĐT chấp thuận.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CL07</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Kiểm tra bản vẽ shopdrawing (triển khai, chế tạo, lắp đặt)</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Danh mục shopdrawing được phê duyệt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CL08</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Giám sát thường xuyên, nhật ký thi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Các kết quả kiểm tra và số lượng vật tư vật liệu đưa vào công trình từng thời điểm trong ngày được ghi trong nhật ký côn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CL09</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Kiểm tra, xác nhận bản vẽ hoàn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4.3. Xác nhận bản vẽ hoàn công: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CL10</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Nghiệm thu công việc xây dựng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Việc giám sát thường xuyên, liên tục, có hệ thống, được hiểu có nghĩa như sau: Theo đúng quy trình nghiệm thu, tiến độ 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Nghiệm thu bộ phận, giai đoạn thi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4.6 Nghiệm thu bộ phận công trình xây dựng, giai đoạn thi công xây dựng (Điều 23 Nghị định 207/2026/NĐ-CP)</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Nghiệm thu hoàn thành hạng mục, công trình đưa vào sử dụng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4.7. Nghiệm thu hoàn thành hạng mục công trình, công trình xây dựng đưa vào sử dụng (Điều 24 Nghị định 207/2026/NĐ-CP)</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Hồ sơ nghiệm thu, tài liệu hoàn thành công trình</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Tài liệu phục vụ nghiệm thu bộ phận công trình như nêu trong căn cứ nghiệm thu bộ phận công trình.</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Phát hiện sai sót, bất hợp lý của thiết kế</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chưa thành mục – Nhắc 1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Đề nghị kiểm định lại khi nghi ngờ chất lượng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4.10. Đề nghị CĐT tổ chức kiểm định lại chất lượng bộ phận công trình, hạng mục công trình và công trình xây dựng khi 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CL16</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Phối hợp giải quyết vướng mắc, phát sinh</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4.11. Phối hợp với các bên liên quan giải quyết những vướng mắc, phát sinh trong thi công xây dựng công trình.</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CL17</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Sơ đồ/lưu đồ quy trình quản lý chất lượng, quy trình nghiệm thu</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Việc giám sát thường xuyên, liên tục, có hệ thống, được hiểu có nghĩa như sau: Theo đúng quy trình nghiệm thu, tiến độ 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CL18</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Quy trình xử lý không phù hợp (NCR)</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CL19</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Quản lý thay đổi thiết kế, RFI, xung đột bộ môn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DANH MỤC NHỮNG THAY ĐỔI THIẾT KẾ ĐÃ ĐƯỢC PHÊ DUYỆT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CL20</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Kế hoạch nghiệm thu / kế hoạch kiểm tra (ITP)</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4.</w:t>
              <w:tab/>
              <w:t>Thống kê các công tác thí nghiệm được thực hiện trong kỳ báo cáo. Số lượng các kết quả thí nghiệm đối với từng loại 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CL21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Giám sát chạy thử, vận hành thử thiết bị</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Kiểm tra đối tượng nghiệm thu tại hiện trường: Bộ phận công trình xây dựng, giai đoạn thi công xây dựng, thiết bị chạy 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Giám sát khối lượng</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KL01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Nguyên tắc giám sát, xác nhận khối lượng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II. GIÁM SÁT KHỐI LƯỢNG, ĐO ĐẠC XÁC NHẬN KHỐI LƯỢNG THỰC TẾ THI CÔNG: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KL02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Khối lượng phát sinh so với thiết kế</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Khối lượng phát sinh so với hồ sơ TK:</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KL03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Khối lượng sửa đổi, khối lượng thi công khác</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Khối lượng sửa đổi so với hồ sơ TK.</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KL04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Quy trình, thời hạn xác nhận khối lượng; lưu ý khi tính khối lượng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chưa thành mục – Nhắc 1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Giám sát tiến độ</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TD01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Giám sát tiến độ thi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QUY TRÌNH GIÁM SÁT TIẾN ĐỘ</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TD02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Biện pháp khắc phục chậm tiến độ, đẩy nhanh tiến độ</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chưa thành mục – Nhắc 14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TD03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Cập nhật tiến độ định kỳ, cảnh báo sớm nguy cơ chậm</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Giám sát ATLĐ, VSMT, PCCC</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AT01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Giám sát an toàn lao động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IV. GIÁM SÁT AN TOÀN LAO ĐỘNG VÀ VỆ SINH MÔI TRƯỜNG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AT02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Giám sát vệ sinh môi trường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IV. GIÁM SÁT AN TOÀN LAO ĐỘNG VÀ VỆ SINH MÔI TRƯỜNG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AT03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Giám sát phòng cháy chữa cháy, phòng chống cháy nổ</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Văn bản chấp thuận của cơ quan quản lý nhà nước có thẩm quyền về phòng chống cháy nổ; an toàn môi trường; an toàn vận hà</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AT04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Kế hoạch quản lý an toàn: nhận diện mối nguy, đánh giá rủi ro, biện pháp kiểm soát</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AT05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Ứng phó tình huống khẩn cấp, quy trình đình chỉ thi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d) Đình chỉ thực hiện hoặc chấm dứt hợp đồng với TEXO theo quy định trong hợp đồng kinh tế và theo pháp luật.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Báo cáo, họp, trao đổi thông tin</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BC01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Chế độ báo cáo (tuần, tháng, giai đoạn, hoàn thành, sự cố)</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6.11 Báo cáo định kỳ của Tư vấn giám sát: Trưởng đoàn TVGS TEXO</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BC02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Thời hạn nộp báo cáo</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00000"/>
                <w:sz w:val="17"/>
              </w:rPr>
              <w:t>Phải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BC03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Tổ chức các cuộc họp, giao ban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00000"/>
                <w:sz w:val="17"/>
              </w:rPr>
              <w:t>Phải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BC04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Trao đổi thông tin, quản lý hồ sơ – tài liệu, thời hạn xử lý hồ sơ</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Nhật ký thi công xây dựng công trình là tài liệu gốc về thi công công trình (hay hạng mục công trình) nhằm trao đổi thôn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Tổ chức thực hiện đoàn TVGS</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Tổ chức thực hiện – nguyên tắc chung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PHẦN THỨ NĂM: TỔ CHỨC THỰC HIỆN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Mô hình, sơ đồ tổ chức đoàn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2. Mô hình đoàn TVGS:</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Nhiệm vụ của TVGS trưởng và các kỹ sư giám sát</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Bản vẽ hoàn công được TVGS Trưởng ký tên xác nhận.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Quan hệ của đoàn TVGS với Công ty, nội bộ và các bên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3. Quan hệ của Đoàn TVGS với các Đơn vị, Công ty:</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Phân công / phân cấp trách nhiệm ký hồ sơ sản phẩm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6. Phân công trách nhiệm:</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TO06</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Ma trận trách nhiệm phối hợp các bên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TO07</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Kế hoạch điều động, đánh giá, đào tạo nhân sự đoàn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chưa thành mục – Nhắc 2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TO08</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Hệ thống đảm bảo chất lượng công tác giám sát (ISO 9001, kiểm soát nội bộ)</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chưa thành mục – Nhắc 2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TO09</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Biện pháp phòng ngừa sai sót</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Đề cương giám sát chi tiết, biểu mẫu</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CT01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phần đề cương giám sát chi tiết theo từng công tác/hạng mục</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PHẦN THỨ BA: ĐỀ CƯƠNG GIÁM SÁT CHI TIẾT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CT02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Tiêu chuẩn được viện dẫn cho từng công tác (≥ 10 lượt TCVN/QCVN)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35 lượt viện dẫn TCVN/QCVN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CT03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Biểu mẫu hồ sơ (hoặc dẫn chiếu biểu mẫu dự án)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BIỂU MẪU NGHIỆM THU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CT04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Phiếu/bảng kiểm tra chi tiết (công việc kiểm tra – căn cứ – đánh giá) và sai số cho phép</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Phiếu kiểm tra đối tượng nghiệm thu.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bl>
    <w:p>
      <w:pPr>
        <w:keepNext/>
        <w:spacing w:before="280" w:after="140" w:line="276" w:lineRule="auto"/>
        <w:jc w:val="left"/>
        <w:pBdr>
          <w:bottom w:val="single" w:sz="8" w:space="2" w:color="2E5496"/>
        </w:pBdr>
      </w:pPr>
      <w:r>
        <w:rPr>
          <w:rFonts w:ascii="Times New Roman" w:hAnsi="Times New Roman" w:cs="Times New Roman" w:eastAsia="Times New Roman"/>
          <w:b/>
          <w:i w:val="0"/>
          <w:color w:val="1F3864"/>
          <w:sz w:val="28"/>
        </w:rPr>
        <w:t>3. Hạng mục công tác – đề cương chi tiết</w:t>
      </w:r>
    </w:p>
    <w:tbl>
      <w:tblPr>
        <w:jc w:val="center"/>
        <w:tblLayout w:type="fixed"/>
        <w:tblLook w:firstColumn="1" w:firstRow="1" w:lastColumn="0" w:lastRow="0" w:noHBand="0" w:noVBand="1" w:val="04A0"/>
        <w:tblLayout w:type="fixed"/>
        <w:tblW w:w="9026" w:type="dxa"/>
      </w:tblPr>
      <w:tblGrid>
        <w:gridCol w:w="2800"/>
        <w:gridCol w:w="1250"/>
        <w:gridCol w:w="2700"/>
        <w:gridCol w:w="1026"/>
        <w:gridCol w:w="1250"/>
      </w:tblGrid>
      <w:tr>
        <w:trPr>
          <w:cantSplit w:val="true"/>
          <w:tblHeader w:val="true"/>
        </w:trPr>
        <w:tc>
          <w:tcPr>
            <w:tcW w:type="dxa" w:w="28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Hạng mục</w:t>
            </w:r>
          </w:p>
        </w:tc>
        <w:tc>
          <w:tcPr>
            <w:tcW w:type="dxa" w:w="12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Nhóm</w:t>
            </w:r>
          </w:p>
        </w:tc>
        <w:tc>
          <w:tcPr>
            <w:tcW w:type="dxa" w:w="27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Hiện trạng / mục tìm thấy</w:t>
            </w:r>
          </w:p>
        </w:tc>
        <w:tc>
          <w:tcPr>
            <w:tcW w:type="dxa" w:w="1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Cần có</w:t>
            </w:r>
          </w:p>
        </w:tc>
        <w:tc>
          <w:tcPr>
            <w:tcW w:type="dxa" w:w="12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Mức độ</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Kiểm tra sự phù hợp năng lực của nhà thầu thi công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Chung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I. KIỂM TRA SỰ PHÙ HỢP NĂNG LỰC CỦA NHÀ THẦU THI CÔNG XÂY DỰNG VỚI HỒ SƠ DỰ THẦU VÀ HỢP ĐỒNG XÂY DỰNG</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vật liệu, thiết bị, sản phẩm chế tạo sẵn lắp đặt vào công trình</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Chung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3. Kiểm tra và giám sát chất lượng vật tư, vật liệu và thiết bị lắp đặt vào công trình do NT thi công xây dựng</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công tác trắc địa</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Chung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ép cọc (đóng, ép cọc BTCT)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Nền móng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II. GIÁM SÁT THI CÔNG ÉP CỌC</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kết cấu bê tông cốt thép toàn khối (cốp pha, cốt thép, bê tông)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Kết cấu</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Không có</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00000"/>
                <w:sz w:val="17"/>
              </w:rPr>
              <w:t>Phải xử lý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cáp dự ứng lực</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Kết cấu</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gia công, lắp đặt cửa gỗ</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Hoàn thiện</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Không có</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00000"/>
                <w:sz w:val="17"/>
              </w:rPr>
              <w:t>Phải xử lý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hệ thống phòng cháy chữa cháy</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cảnh quan, cây xanh</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Hạ tầng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Không có</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00000"/>
                <w:sz w:val="17"/>
              </w:rPr>
              <w:t>Phải xử lý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trắc đạc, quan trắc (gói chuyên đề)</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Chuyên đề</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5.</w:t>
              <w:tab/>
              <w:t>Đánh giá sự phù hợp của kết quả thí nghiệm kiểm tra vật liệu, cấu kiện, sản phẩm xây dựng trong quá trình 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thiết bị cơ khí – công nghệ (bơm, máy thổi khí, khuấy, hóa chất)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Công trình xử lý nước thải</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Kiểm tra các kết quả thử nghiệm, vận hành đồng bộ hệ thống máy móc thiết bị công nghệ.</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chạy thử, nghiệm thu và bàn giao đưa công trình vào sử dụng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Chung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1.1 Kiểm tra, bàn giao mặt bằng:</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an toàn lao động, PCCC, vệ sinh môi trường tại hiện trường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Chung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IV. GIÁM SÁT AN TOÀN LAO ĐỘNG VÀ VỆ SINH MÔI TRƯỜNG</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quan trắc lún, nghiêng, chuyển vị và kiểm định kết cấu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Chuyên đề</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5.</w:t>
              <w:tab/>
              <w:t>Đánh giá sự phù hợp của kết quả thí nghiệm kiểm tra vật liệu, cấu kiện, sản phẩm xây dựng trong quá trình 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bl>
    <w:p>
      <w:pPr>
        <w:keepNext/>
        <w:spacing w:before="280" w:after="140" w:line="276" w:lineRule="auto"/>
        <w:jc w:val="left"/>
        <w:pBdr>
          <w:bottom w:val="single" w:sz="8" w:space="2" w:color="2E5496"/>
        </w:pBdr>
      </w:pPr>
      <w:r>
        <w:rPr>
          <w:rFonts w:ascii="Times New Roman" w:hAnsi="Times New Roman" w:cs="Times New Roman" w:eastAsia="Times New Roman"/>
          <w:b/>
          <w:i w:val="0"/>
          <w:color w:val="1F3864"/>
          <w:sz w:val="28"/>
        </w:rPr>
        <w:t>4. Căn cứ pháp lý</w:t>
      </w:r>
    </w:p>
    <w:p>
      <w:pPr>
        <w:keepNext w:val="0"/>
        <w:spacing w:before="0" w:after="120" w:line="276" w:lineRule="auto"/>
        <w:jc w:val="both"/>
      </w:pPr>
      <w:r>
        <w:rPr>
          <w:rFonts w:ascii="Times New Roman" w:hAnsi="Times New Roman" w:cs="Times New Roman" w:eastAsia="Times New Roman"/>
          <w:b w:val="0"/>
          <w:i w:val="0"/>
          <w:sz w:val="22"/>
        </w:rPr>
        <w:t>Văn bản mới đã viện dẫn: Luật XD 135/2025 ✓, NĐ 207/2026 ✓, TT 32/2026 ✓, NĐ 217/2026 / 212/2026 ✓</w:t>
      </w:r>
    </w:p>
    <w:tbl>
      <w:tblPr>
        <w:jc w:val="center"/>
        <w:tblLayout w:type="fixed"/>
        <w:tblLook w:firstColumn="1" w:firstRow="1" w:lastColumn="0" w:lastRow="0" w:noHBand="0" w:noVBand="1" w:val="04A0"/>
        <w:tblLayout w:type="fixed"/>
        <w:tblW w:w="9026" w:type="dxa"/>
      </w:tblPr>
      <w:tblGrid>
        <w:gridCol w:w="2600"/>
        <w:gridCol w:w="650"/>
        <w:gridCol w:w="4526"/>
        <w:gridCol w:w="1250"/>
      </w:tblGrid>
      <w:tr>
        <w:trPr>
          <w:cantSplit w:val="true"/>
          <w:tblHeader w:val="true"/>
        </w:trPr>
        <w:tc>
          <w:tcPr>
            <w:tcW w:type="dxa" w:w="2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Văn bản</w:t>
            </w:r>
          </w:p>
        </w:tc>
        <w:tc>
          <w:tcPr>
            <w:tcW w:type="dxa" w:w="6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Số lần</w:t>
            </w:r>
          </w:p>
        </w:tc>
        <w:tc>
          <w:tcPr>
            <w:tcW w:type="dxa" w:w="45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Đề xuất</w:t>
            </w:r>
          </w:p>
        </w:tc>
        <w:tc>
          <w:tcPr>
            <w:tcW w:type="dxa" w:w="12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Mức độ</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TCVN 5308:1991</w:t>
            </w:r>
          </w:p>
        </w:tc>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val="0"/>
                <w:i w:val="0"/>
                <w:sz w:val="19"/>
              </w:rPr>
              <w:t>1</w:t>
            </w:r>
          </w:p>
        </w:tc>
        <w:tc>
          <w:tcPr>
            <w:tcW w:type="dxa" w:w="45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Tiêu chuẩn ban hành đã lâu – đối chiếu danh mục tiêu chuẩn dự án và tiêu chuẩn thay thế (nếu 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2E5496"/>
                <w:sz w:val="18"/>
              </w:rPr>
              <w:t>Lưu ý</w:t>
            </w:r>
          </w:p>
        </w:tc>
      </w:tr>
    </w:tbl>
    <w:p>
      <w:pPr>
        <w:keepNext w:val="0"/>
        <w:spacing w:before="0" w:after="120" w:line="276" w:lineRule="auto"/>
        <w:jc w:val="both"/>
      </w:pPr>
      <w:r>
        <w:rPr>
          <w:rFonts w:ascii="Times New Roman" w:hAnsi="Times New Roman" w:cs="Times New Roman" w:eastAsia="Times New Roman"/>
          <w:b/>
          <w:i w:val="0"/>
          <w:color w:val="C00000"/>
          <w:sz w:val="20"/>
        </w:rPr>
        <w:t>Công cụ này chỉ dò theo danh mục văn bản theo dõi (cập nhật 2026-10-23). Bắt buộc rà soát toàn bộ văn bản pháp luật, tiêu chuẩn viện dẫn bằng công cụ TEXO Legal Reviewer trước khi trình ký để bảo đảm dùng phiên bản mới nhất.</w:t>
      </w:r>
    </w:p>
    <w:p>
      <w:pPr>
        <w:keepNext/>
        <w:spacing w:before="280" w:after="140" w:line="276" w:lineRule="auto"/>
        <w:jc w:val="left"/>
        <w:pBdr>
          <w:bottom w:val="single" w:sz="8" w:space="2" w:color="2E5496"/>
        </w:pBdr>
      </w:pPr>
      <w:r>
        <w:rPr>
          <w:rFonts w:ascii="Times New Roman" w:hAnsi="Times New Roman" w:cs="Times New Roman" w:eastAsia="Times New Roman"/>
          <w:b/>
          <w:i w:val="0"/>
          <w:color w:val="1F3864"/>
          <w:sz w:val="28"/>
        </w:rPr>
        <w:t>5. Trình bày, thông tin dự án</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Nội dung</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Kết quả</w:t>
            </w:r>
          </w:p>
        </w:tc>
      </w:tr>
      <w:tr>
        <w:trPr>
          <w:cantSplit w:val="true"/>
        </w:trP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Quy mô tài liệu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21.527 từ · 357 tiêu đề · 81 bảng · 33 hình/sơ đồ</w:t>
            </w:r>
          </w:p>
        </w:tc>
      </w:tr>
      <w:tr>
        <w:trPr>
          <w:cantSplit w:val="true"/>
        </w:trP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Tên dự án tìm thấy</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ĐẦU TƯ XÂY DỰNG KHU ĐÔ THỊ ĐẠI HỌC NAM CAO ĐỊA PHẬN THỊ XÃ DUY TIÊN</w:t>
            </w:r>
          </w:p>
        </w:tc>
      </w:tr>
      <w:tr>
        <w:trPr>
          <w:cantSplit w:val="true"/>
        </w:trP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Chủ đầu tư tìm thấy</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CÔNG TY TNHH KHU ĐÔ THỊ MỚI DUY TIÊN</w:t>
            </w:r>
          </w:p>
        </w:tc>
      </w:tr>
      <w:tr>
        <w:trPr>
          <w:cantSplit w:val="true"/>
        </w:trP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Nghi lẫn tên dự án/CĐT khác</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Không</w:t>
            </w:r>
          </w:p>
        </w:tc>
      </w:tr>
      <w:tr>
        <w:trPr>
          <w:cantSplit w:val="true"/>
        </w:trP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Chỗ trống chờ điền</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Không</w:t>
            </w:r>
          </w:p>
        </w:tc>
      </w:tr>
    </w:tbl>
    <w:p>
      <w:pPr>
        <w:keepNext w:val="0"/>
        <w:spacing w:before="0" w:after="200" w:line="276" w:lineRule="auto"/>
        <w:jc w:val="both"/>
      </w:pPr>
    </w:p>
    <w:tbl>
      <w:tblPr>
        <w:jc w:val="center"/>
        <w:tblLayout w:type="fixed"/>
        <w:tblLook w:firstColumn="1" w:firstRow="1" w:lastColumn="0" w:lastRow="0" w:noHBand="0" w:noVBand="1" w:val="04A0"/>
        <w:tblLayout w:type="fixed"/>
        <w:tblW w:w="9026" w:type="dxa"/>
      </w:tblPr>
      <w:tblGrid>
        <w:gridCol w:w="3249"/>
        <w:gridCol w:w="5777"/>
      </w:tblGrid>
      <w:tr>
        <w:trPr>
          <w:cantSplit w:val="true"/>
        </w:trPr>
        <w:tc>
          <w:tcPr>
            <w:tcW w:type="dxa" w:w="3249"/>
            <w:vMerge w:val="restart"/>
            <w:tcBorders>
              <w:top w:val="nil"/>
              <w:left w:val="nil"/>
              <w:bottom w:val="nil"/>
              <w:right w:val="nil"/>
            </w:tcBorders>
            <w:tcMar>
              <w:top w:w="0" w:type="dxa"/>
              <w:left w:w="100" w:type="dxa"/>
              <w:bottom w:w="0" w:type="dxa"/>
              <w:right w:w="100" w:type="dxa"/>
            </w:tcMar>
          </w:tcPr>
          <w:p>
            <w:pPr>
              <w:spacing w:after="30" w:before="0" w:line="264" w:lineRule="auto"/>
              <w:jc w:val="left"/>
            </w:pPr>
            <w:r>
              <w:rPr>
                <w:rFonts w:ascii="Times New Roman" w:hAnsi="Times New Roman" w:cs="Times New Roman" w:eastAsia="Times New Roman"/>
                <w:b/>
                <w:i/>
                <w:sz w:val="22"/>
              </w:rPr>
              <w:t>Nơi nhận:</w:t>
            </w:r>
          </w:p>
          <w:p>
            <w:pPr>
              <w:spacing w:after="30" w:before="0" w:line="264" w:lineRule="auto"/>
              <w:jc w:val="left"/>
            </w:pPr>
            <w:r>
              <w:rPr>
                <w:rFonts w:ascii="Times New Roman" w:hAnsi="Times New Roman" w:cs="Times New Roman" w:eastAsia="Times New Roman"/>
                <w:b w:val="0"/>
                <w:i w:val="0"/>
                <w:sz w:val="20"/>
              </w:rPr>
              <w:t>- Trung tâm lập đề cương</w:t>
            </w:r>
          </w:p>
          <w:p>
            <w:pPr>
              <w:spacing w:after="30" w:before="0" w:line="264" w:lineRule="auto"/>
              <w:jc w:val="left"/>
            </w:pPr>
            <w:r>
              <w:rPr>
                <w:rFonts w:ascii="Times New Roman" w:hAnsi="Times New Roman" w:cs="Times New Roman" w:eastAsia="Times New Roman"/>
                <w:b w:val="0"/>
                <w:i w:val="0"/>
                <w:sz w:val="20"/>
              </w:rPr>
              <w:t>- Lưu P.KT</w:t>
            </w:r>
          </w:p>
        </w:tc>
        <w:tc>
          <w:tcPr>
            <w:tcW w:type="dxa" w:w="5777"/>
            <w:tcBorders>
              <w:top w:val="nil"/>
              <w:left w:val="nil"/>
              <w:bottom w:val="nil"/>
              <w:right w:val="nil"/>
            </w:tcBorders>
            <w:tcMar>
              <w:top w:w="0" w:type="dxa"/>
              <w:left w:w="100" w:type="dxa"/>
              <w:bottom w:w="0" w:type="dxa"/>
              <w:right w:w="100" w:type="dxa"/>
            </w:tcMar>
          </w:tcPr>
          <w:p>
            <w:pPr>
              <w:spacing w:after="80" w:before="0" w:line="264" w:lineRule="auto"/>
              <w:jc w:val="center"/>
            </w:pPr>
            <w:r>
              <w:rPr>
                <w:rFonts w:ascii="Times New Roman" w:hAnsi="Times New Roman" w:cs="Times New Roman" w:eastAsia="Times New Roman"/>
                <w:b w:val="0"/>
                <w:i/>
                <w:sz w:val="22"/>
              </w:rPr>
              <w:t>Hà Nội, ngày 23 tháng 10 năm 2026</w:t>
            </w:r>
          </w:p>
        </w:tc>
      </w:tr>
      <w:tr>
        <w:trPr>
          <w:cantSplit w:val="true"/>
        </w:trPr>
        <w:tc>
          <w:tcPr>
            <w:tcW w:type="dxa" w:w="3249"/>
            <w:vMerge/>
            <w:tcBorders>
              <w:top w:val="nil"/>
              <w:left w:val="nil"/>
              <w:bottom w:val="nil"/>
              <w:right w:val="nil"/>
            </w:tcBorders>
            <w:tcMar>
              <w:top w:w="0" w:type="dxa"/>
              <w:left w:w="100" w:type="dxa"/>
              <w:bottom w:w="0" w:type="dxa"/>
              <w:right w:w="100" w:type="dxa"/>
            </w:tcMar>
          </w:tcPr>
          <w:p/>
        </w:tc>
        <w:tc>
          <w:tcPr>
            <w:tcW w:type="dxa" w:w="5777"/>
            <w:tcBorders>
              <w:top w:val="nil"/>
              <w:left w:val="nil"/>
              <w:bottom w:val="nil"/>
              <w:right w:val="nil"/>
            </w:tcBorders>
            <w:tcMar>
              <w:top w:w="0" w:type="dxa"/>
              <w:left w:w="100" w:type="dxa"/>
              <w:bottom w:w="0" w:type="dxa"/>
              <w:right w:w="100" w:type="dxa"/>
            </w:tcMar>
          </w:tcPr>
          <w:p>
            <w:pPr>
              <w:spacing w:after="0" w:before="0" w:line="264" w:lineRule="auto"/>
              <w:jc w:val="center"/>
            </w:pPr>
            <w:r>
              <w:rPr>
                <w:rFonts w:ascii="Times New Roman" w:hAnsi="Times New Roman" w:cs="Times New Roman" w:eastAsia="Times New Roman"/>
                <w:b/>
                <w:i w:val="0"/>
                <w:sz w:val="23"/>
              </w:rPr>
              <w:t>TRƯỞNG PHÒNG</w:t>
            </w:r>
          </w:p>
        </w:tc>
      </w:tr>
      <w:tr>
        <w:trPr>
          <w:cantSplit w:val="true"/>
        </w:trPr>
        <w:tc>
          <w:tcPr>
            <w:tcW w:type="dxa" w:w="3249"/>
            <w:vMerge/>
            <w:tcBorders>
              <w:top w:val="nil"/>
              <w:left w:val="nil"/>
              <w:bottom w:val="nil"/>
              <w:right w:val="nil"/>
            </w:tcBorders>
            <w:tcMar>
              <w:top w:w="0" w:type="dxa"/>
              <w:left w:w="100" w:type="dxa"/>
              <w:bottom w:w="0" w:type="dxa"/>
              <w:right w:w="100" w:type="dxa"/>
            </w:tcMar>
          </w:tcPr>
          <w:p/>
        </w:tc>
        <w:tc>
          <w:tcPr>
            <w:tcW w:type="dxa" w:w="5777"/>
            <w:tcBorders>
              <w:top w:val="nil"/>
              <w:left w:val="nil"/>
              <w:bottom w:val="nil"/>
              <w:right w:val="nil"/>
            </w:tcBorders>
            <w:tcMar>
              <w:top w:w="0" w:type="dxa"/>
              <w:left w:w="100" w:type="dxa"/>
              <w:bottom w:w="0" w:type="dxa"/>
              <w:right w:w="100" w:type="dxa"/>
            </w:tcMar>
          </w:tcPr>
          <w:p>
            <w:pPr>
              <w:spacing w:after="0" w:before="0" w:line="264" w:lineRule="auto"/>
              <w:jc w:val="center"/>
            </w:pPr>
            <w:r>
              <w:rPr>
                <w:rFonts w:ascii="Times New Roman" w:hAnsi="Times New Roman" w:cs="Times New Roman" w:eastAsia="Times New Roman"/>
                <w:b/>
                <w:i w:val="0"/>
                <w:sz w:val="23"/>
              </w:rPr>
              <w:t>KỸ THUẬT</w:t>
            </w:r>
          </w:p>
        </w:tc>
      </w:tr>
      <w:tr>
        <w:trPr>
          <w:cantSplit w:val="true"/>
        </w:trPr>
        <w:tc>
          <w:tcPr>
            <w:tcW w:type="dxa" w:w="3249"/>
            <w:vMerge/>
            <w:tcBorders>
              <w:top w:val="nil"/>
              <w:left w:val="nil"/>
              <w:bottom w:val="nil"/>
              <w:right w:val="nil"/>
            </w:tcBorders>
            <w:tcMar>
              <w:top w:w="0" w:type="dxa"/>
              <w:left w:w="100" w:type="dxa"/>
              <w:bottom w:w="0" w:type="dxa"/>
              <w:right w:w="100" w:type="dxa"/>
            </w:tcMar>
          </w:tcPr>
          <w:p/>
        </w:tc>
        <w:tc>
          <w:tcPr>
            <w:tcW w:type="dxa" w:w="5777"/>
            <w:tcBorders>
              <w:top w:val="nil"/>
              <w:left w:val="nil"/>
              <w:bottom w:val="nil"/>
              <w:right w:val="nil"/>
            </w:tcBorders>
            <w:tcMar>
              <w:top w:w="0" w:type="dxa"/>
              <w:left w:w="100" w:type="dxa"/>
              <w:bottom w:w="0" w:type="dxa"/>
              <w:right w:w="100" w:type="dxa"/>
            </w:tcMar>
          </w:tcPr>
          <w:p>
            <w:pPr>
              <w:spacing w:after="0" w:before="0" w:line="264" w:lineRule="auto"/>
              <w:jc w:val="center"/>
            </w:pPr>
            <w:r>
              <w:rPr>
                <w:rFonts w:ascii="Times New Roman" w:hAnsi="Times New Roman" w:cs="Times New Roman" w:eastAsia="Times New Roman"/>
                <w:b w:val="0"/>
                <w:i/>
                <w:color w:val="595959"/>
                <w:sz w:val="20"/>
              </w:rPr>
              <w:t>(Ký, ghi rõ họ tên)</w:t>
            </w:r>
          </w:p>
        </w:tc>
      </w:tr>
      <w:tr>
        <w:trPr>
          <w:cantSplit w:val="true"/>
        </w:trPr>
        <w:tc>
          <w:tcPr>
            <w:tcW w:type="dxa" w:w="3249"/>
            <w:vMerge/>
            <w:tcBorders>
              <w:top w:val="nil"/>
              <w:left w:val="nil"/>
              <w:bottom w:val="nil"/>
              <w:right w:val="nil"/>
            </w:tcBorders>
            <w:tcMar>
              <w:top w:w="0" w:type="dxa"/>
              <w:left w:w="100" w:type="dxa"/>
              <w:bottom w:w="0" w:type="dxa"/>
              <w:right w:w="100" w:type="dxa"/>
            </w:tcMar>
          </w:tcPr>
          <w:p/>
        </w:tc>
        <w:tc>
          <w:tcPr>
            <w:tcW w:type="dxa" w:w="5777"/>
            <w:tcBorders>
              <w:top w:val="nil"/>
              <w:left w:val="nil"/>
              <w:bottom w:val="nil"/>
              <w:right w:val="nil"/>
            </w:tcBorders>
            <w:tcMar>
              <w:top w:w="0" w:type="dxa"/>
              <w:left w:w="100" w:type="dxa"/>
              <w:bottom w:w="0" w:type="dxa"/>
              <w:right w:w="100" w:type="dxa"/>
            </w:tcMar>
          </w:tcPr>
          <w:p>
            <w:pPr>
              <w:spacing w:after="960" w:before="0" w:line="264" w:lineRule="auto"/>
              <w:jc w:val="left"/>
            </w:pPr>
          </w:p>
        </w:tc>
      </w:tr>
      <w:tr>
        <w:trPr>
          <w:cantSplit w:val="true"/>
        </w:trPr>
        <w:tc>
          <w:tcPr>
            <w:tcW w:type="dxa" w:w="3249"/>
            <w:vMerge/>
            <w:tcBorders>
              <w:top w:val="nil"/>
              <w:left w:val="nil"/>
              <w:bottom w:val="nil"/>
              <w:right w:val="nil"/>
            </w:tcBorders>
            <w:tcMar>
              <w:top w:w="0" w:type="dxa"/>
              <w:left w:w="100" w:type="dxa"/>
              <w:bottom w:w="0" w:type="dxa"/>
              <w:right w:w="100" w:type="dxa"/>
            </w:tcMar>
          </w:tcPr>
          <w:p/>
        </w:tc>
        <w:tc>
          <w:tcPr>
            <w:tcW w:type="dxa" w:w="5777"/>
            <w:tcBorders>
              <w:top w:val="nil"/>
              <w:left w:val="nil"/>
              <w:bottom w:val="nil"/>
              <w:right w:val="nil"/>
            </w:tcBorders>
            <w:tcMar>
              <w:top w:w="0" w:type="dxa"/>
              <w:left w:w="100" w:type="dxa"/>
              <w:bottom w:w="0" w:type="dxa"/>
              <w:right w:w="100" w:type="dxa"/>
            </w:tcMar>
          </w:tcPr>
          <w:p>
            <w:pPr>
              <w:spacing w:after="0" w:before="0" w:line="264" w:lineRule="auto"/>
              <w:jc w:val="center"/>
            </w:pPr>
            <w:r>
              <w:rPr>
                <w:rFonts w:ascii="Times New Roman" w:hAnsi="Times New Roman" w:cs="Times New Roman" w:eastAsia="Times New Roman"/>
                <w:b/>
                <w:i w:val="0"/>
                <w:sz w:val="24"/>
              </w:rPr>
              <w:t>Hoàng Đức Vũ</w:t>
            </w:r>
          </w:p>
        </w:tc>
      </w:tr>
    </w:tbl>
    <w:sectPr w:rsidR="00FC693F" w:rsidRPr="0006063C" w:rsidSect="00034616">
      <w:headerReference w:type="default" r:id="rId9"/>
      <w:footerReference w:type="default" r:id="rId10"/>
      <w:pgSz w:w="11906" w:h="16838"/>
      <w:pgMar w:top="1300" w:right="1440" w:bottom="1080" w:left="1440" w:header="480" w:footer="4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jc w:val="center"/>
      <w:tblLayout w:type="fixed"/>
      <w:tblLook w:firstColumn="1" w:firstRow="1" w:lastColumn="0" w:lastRow="0" w:noHBand="0" w:noVBand="1" w:val="04A0"/>
      <w:tblLayout w:type="fixed"/>
      <w:tblW w:w="9026" w:type="dxa"/>
    </w:tblPr>
    <w:tblGrid>
      <w:gridCol w:w="7526"/>
      <w:gridCol w:w="1500"/>
    </w:tblGrid>
    <w:tr>
      <w:tc>
        <w:tcPr>
          <w:tcW w:type="dxa" w:w="7526"/>
          <w:tcBorders>
            <w:top w:val="single" w:sz="4" w:color="BFBFBF"/>
            <w:left w:val="nil"/>
            <w:bottom w:val="nil"/>
            <w:right w:val="nil"/>
          </w:tcBorders>
          <w:tcMar>
            <w:top w:w="50" w:type="dxa"/>
            <w:left w:w="0" w:type="dxa"/>
            <w:bottom w:w="0" w:type="dxa"/>
            <w:right w:w="0" w:type="dxa"/>
          </w:tcMar>
        </w:tcPr>
        <w:p>
          <w:pPr>
            <w:spacing w:after="0" w:before="0" w:line="264" w:lineRule="auto"/>
            <w:jc w:val="left"/>
          </w:pPr>
          <w:r>
            <w:rPr>
              <w:rFonts w:ascii="Times New Roman" w:hAnsi="Times New Roman" w:cs="Times New Roman" w:eastAsia="Times New Roman"/>
              <w:b w:val="0"/>
              <w:i/>
              <w:color w:val="595959"/>
              <w:sz w:val="16"/>
            </w:rPr>
            <w:t>Tài liệu nội bộ · Phiếu kiểm tra đề cương TVGS</w:t>
          </w:r>
        </w:p>
      </w:tc>
      <w:tc>
        <w:tcPr>
          <w:tcW w:type="dxa" w:w="1500"/>
          <w:tcBorders>
            <w:top w:val="single" w:sz="4" w:color="BFBFBF"/>
            <w:left w:val="nil"/>
            <w:bottom w:val="nil"/>
            <w:right w:val="nil"/>
          </w:tcBorders>
          <w:tcMar>
            <w:top w:w="50" w:type="dxa"/>
            <w:left w:w="0" w:type="dxa"/>
            <w:bottom w:w="0" w:type="dxa"/>
            <w:right w:w="0" w:type="dxa"/>
          </w:tcMar>
        </w:tcPr>
        <w:p>
          <w:pPr>
            <w:spacing w:after="0" w:before="0" w:line="264" w:lineRule="auto"/>
            <w:jc w:val="right"/>
          </w:pPr>
          <w:r>
            <w:rPr>
              <w:rFonts w:ascii="Times New Roman" w:hAnsi="Times New Roman" w:cs="Times New Roman" w:eastAsia="Times New Roman"/>
              <w:b w:val="0"/>
              <w:i w:val="0"/>
              <w:color w:val="595959"/>
              <w:sz w:val="16"/>
            </w:rPr>
            <w:t xml:space="preserve">Trang </w:t>
          </w:r>
          <w:r>
            <w:rPr>
              <w:rFonts w:ascii="Times New Roman" w:hAnsi="Times New Roman"/>
              <w:color w:val="595959"/>
              <w:sz w:val="16"/>
            </w:rPr>
            <w:fldChar w:fldCharType="begin"/>
            <w:instrText xml:space="preserve">PAGE</w:instrText>
            <w:fldChar w:fldCharType="end"/>
          </w:r>
          <w:r>
            <w:rPr>
              <w:rFonts w:ascii="Times New Roman" w:hAnsi="Times New Roman" w:cs="Times New Roman" w:eastAsia="Times New Roman"/>
              <w:b w:val="0"/>
              <w:i w:val="0"/>
              <w:color w:val="595959"/>
              <w:sz w:val="16"/>
            </w:rPr>
            <w:t xml:space="preserve"> / </w:t>
          </w:r>
          <w:r>
            <w:rPr>
              <w:rFonts w:ascii="Times New Roman" w:hAnsi="Times New Roman"/>
              <w:color w:val="595959"/>
              <w:sz w:val="16"/>
            </w:rPr>
            <w:fldChar w:fldCharType="begin"/>
            <w:instrText xml:space="preserve">NUMPAGES</w:instrText>
            <w:fldChar w:fldCharType="end"/>
          </w:r>
        </w:p>
      </w:tc>
    </w:tr>
  </w:tbl>
  <w:p>
    <w:pPr>
      <w:spacing w:after="0" w:line="120" w:lineRule="auto"/>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jc w:val="center"/>
      <w:tblLayout w:type="fixed"/>
      <w:tblLook w:firstColumn="1" w:firstRow="1" w:lastColumn="0" w:lastRow="0" w:noHBand="0" w:noVBand="1" w:val="04A0"/>
      <w:tblLayout w:type="fixed"/>
      <w:tblW w:w="9026" w:type="dxa"/>
    </w:tblPr>
    <w:tblGrid>
      <w:gridCol w:w="1250"/>
      <w:gridCol w:w="3985"/>
      <w:gridCol w:w="3791"/>
    </w:tblGrid>
    <w:tr>
      <w:tc>
        <w:tcPr>
          <w:tcW w:type="dxa" w:w="1250"/>
          <w:tcBorders>
            <w:top w:val="nil"/>
            <w:left w:val="nil"/>
            <w:bottom w:val="single" w:sz="12" w:color="2E5496"/>
            <w:right w:val="nil"/>
          </w:tcBorders>
          <w:tcMar>
            <w:top w:w="0" w:type="dxa"/>
            <w:left w:w="100" w:type="dxa"/>
            <w:bottom w:w="40" w:type="dxa"/>
            <w:right w:w="100" w:type="dxa"/>
          </w:tcMar>
          <w:vAlign w:val="bottom"/>
        </w:tcPr>
        <w:p>
          <w:pPr>
            <w:spacing w:after="40"/>
          </w:pPr>
          <w:r>
            <w:drawing>
              <wp:inline xmlns:a="http://schemas.openxmlformats.org/drawingml/2006/main" xmlns:pic="http://schemas.openxmlformats.org/drawingml/2006/picture">
                <wp:extent cx="637200" cy="244800"/>
                <wp:docPr id="1" name="Picture 1"/>
                <wp:cNvGraphicFramePr>
                  <a:graphicFrameLocks noChangeAspect="1"/>
                </wp:cNvGraphicFramePr>
                <a:graphic>
                  <a:graphicData uri="http://schemas.openxmlformats.org/drawingml/2006/picture">
                    <pic:pic>
                      <pic:nvPicPr>
                        <pic:cNvPr id="0" name="logo_texo.png"/>
                        <pic:cNvPicPr/>
                      </pic:nvPicPr>
                      <pic:blipFill>
                        <a:blip r:embed="rId1"/>
                        <a:stretch>
                          <a:fillRect/>
                        </a:stretch>
                      </pic:blipFill>
                      <pic:spPr>
                        <a:xfrm>
                          <a:off x="0" y="0"/>
                          <a:ext cx="637200" cy="244800"/>
                        </a:xfrm>
                        <a:prstGeom prst="rect"/>
                      </pic:spPr>
                    </pic:pic>
                  </a:graphicData>
                </a:graphic>
              </wp:inline>
            </w:drawing>
          </w:r>
        </w:p>
      </w:tc>
      <w:tc>
        <w:tcPr>
          <w:tcW w:type="dxa" w:w="3985"/>
          <w:tcBorders>
            <w:top w:val="nil"/>
            <w:left w:val="nil"/>
            <w:bottom w:val="single" w:sz="12" w:color="2E5496"/>
            <w:right w:val="nil"/>
          </w:tcBorders>
          <w:tcMar>
            <w:top w:w="0" w:type="dxa"/>
            <w:left w:w="100" w:type="dxa"/>
            <w:bottom w:w="40" w:type="dxa"/>
            <w:right w:w="100" w:type="dxa"/>
          </w:tcMar>
          <w:vAlign w:val="bottom"/>
        </w:tcPr>
        <w:p>
          <w:pPr>
            <w:spacing w:after="0" w:before="0" w:line="264" w:lineRule="auto"/>
            <w:jc w:val="left"/>
          </w:pPr>
          <w:r>
            <w:rPr>
              <w:rFonts w:ascii="Times New Roman" w:hAnsi="Times New Roman" w:cs="Times New Roman" w:eastAsia="Times New Roman"/>
              <w:b/>
              <w:i w:val="0"/>
              <w:color w:val="1F3864"/>
              <w:sz w:val="16"/>
            </w:rPr>
            <w:t>CÔNG TY CỔ PHẦN TEXO TƯ VẤN VÀ ĐẦU TƯ</w:t>
          </w:r>
        </w:p>
        <w:p>
          <w:pPr>
            <w:spacing w:after="40" w:before="0" w:line="264" w:lineRule="auto"/>
            <w:jc w:val="left"/>
          </w:pPr>
          <w:r>
            <w:rPr>
              <w:rFonts w:ascii="Times New Roman" w:hAnsi="Times New Roman" w:cs="Times New Roman" w:eastAsia="Times New Roman"/>
              <w:b/>
              <w:i w:val="0"/>
              <w:color w:val="2E5496"/>
              <w:sz w:val="16"/>
            </w:rPr>
            <w:t>PHÒNG KỸ THUẬT</w:t>
          </w:r>
        </w:p>
      </w:tc>
      <w:tc>
        <w:tcPr>
          <w:tcW w:type="dxa" w:w="3791"/>
          <w:tcBorders>
            <w:top w:val="nil"/>
            <w:left w:val="nil"/>
            <w:bottom w:val="single" w:sz="12" w:color="2E5496"/>
            <w:right w:val="nil"/>
          </w:tcBorders>
          <w:tcMar>
            <w:top w:w="0" w:type="dxa"/>
            <w:left w:w="100" w:type="dxa"/>
            <w:bottom w:w="40" w:type="dxa"/>
            <w:right w:w="100" w:type="dxa"/>
          </w:tcMar>
          <w:vAlign w:val="bottom"/>
        </w:tcPr>
        <w:p>
          <w:pPr>
            <w:spacing w:after="0" w:before="0" w:line="264" w:lineRule="auto"/>
            <w:jc w:val="right"/>
          </w:pPr>
          <w:r>
            <w:rPr>
              <w:rFonts w:ascii="Times New Roman" w:hAnsi="Times New Roman" w:cs="Times New Roman" w:eastAsia="Times New Roman"/>
              <w:b/>
              <w:i w:val="0"/>
              <w:color w:val="1F3864"/>
              <w:sz w:val="17"/>
            </w:rPr>
            <w:t>PHIẾU KIỂM TRA ĐỀ CƯƠNG TVGS</w:t>
          </w:r>
        </w:p>
        <w:p>
          <w:pPr>
            <w:spacing w:after="40" w:before="0" w:line="264" w:lineRule="auto"/>
            <w:jc w:val="right"/>
          </w:pPr>
          <w:r>
            <w:rPr>
              <w:rFonts w:ascii="Times New Roman" w:hAnsi="Times New Roman" w:cs="Times New Roman" w:eastAsia="Times New Roman"/>
              <w:b w:val="0"/>
              <w:i/>
              <w:color w:val="595959"/>
              <w:sz w:val="16"/>
            </w:rPr>
            <w:t>TT6 De cuong GS coc ep</w:t>
          </w:r>
        </w:p>
      </w:tc>
    </w:tr>
  </w:tbl>
  <w:p>
    <w:pP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