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cs="Times New Roman"/>
          <w:b/>
          <w:i w:val="0"/>
          <w:sz w:val="24"/>
        </w:rPr>
        <w:t>CÔNG TY CỔ PHẦN TEXO TƯ VẤN VÀ ĐẦU TƯ</w:t>
      </w:r>
    </w:p>
    <w:p>
      <w:pPr>
        <w:spacing w:after="40" w:before="0"/>
        <w:jc w:val="center"/>
      </w:pPr>
      <w:r>
        <w:rPr>
          <w:rFonts w:ascii="Times New Roman" w:hAnsi="Times New Roman" w:cs="Times New Roman"/>
          <w:b/>
          <w:i w:val="0"/>
          <w:color w:val="1F3764"/>
          <w:sz w:val="32"/>
        </w:rPr>
        <w:t>BÁO CÁO RÀ SOÁT PHÁP LÝ HỢP ĐỒNG</w:t>
      </w:r>
    </w:p>
    <w:p>
      <w:pPr>
        <w:spacing w:after="40" w:before="0"/>
        <w:jc w:val="center"/>
      </w:pPr>
      <w:r>
        <w:rPr>
          <w:rFonts w:ascii="Times New Roman" w:hAnsi="Times New Roman" w:cs="Times New Roman"/>
          <w:b w:val="0"/>
          <w:i/>
          <w:sz w:val="24"/>
        </w:rPr>
        <w:t>(Góc nhìn Đơn vị tư vấn — Bên B)</w:t>
      </w:r>
    </w:p>
    <w:p>
      <w:pPr>
        <w:spacing w:after="200" w:before="0"/>
        <w:jc w:val="center"/>
      </w:pPr>
      <w:r>
        <w:rPr>
          <w:rFonts w:ascii="Times New Roman" w:hAnsi="Times New Roman" w:cs="Times New Roman"/>
          <w:b w:val="0"/>
          <w:i/>
          <w:sz w:val="22"/>
        </w:rPr>
        <w:t>Ngày lập: 10/06/2026</w:t>
      </w:r>
    </w:p>
    <w:p>
      <w:pPr>
        <w:spacing w:after="120" w:before="0"/>
      </w:pPr>
      <w:r>
        <w:rPr>
          <w:rFonts w:ascii="Times New Roman" w:hAnsi="Times New Roman" w:cs="Times New Roman"/>
          <w:b/>
          <w:i w:val="0"/>
          <w:color w:val="1F3764"/>
          <w:sz w:val="28"/>
        </w:rPr>
        <w:t>1. THÔNG TIN CHUNG &amp; BỐI CẢNH</w:t>
      </w:r>
    </w:p>
    <w:p>
      <w:pPr>
        <w:spacing w:after="40" w:before="0"/>
      </w:pPr>
      <w:r>
        <w:rPr>
          <w:rFonts w:ascii="Times New Roman" w:hAnsi="Times New Roman" w:cs="Times New Roman"/>
          <w:b w:val="0"/>
          <w:i w:val="0"/>
          <w:sz w:val="26"/>
        </w:rPr>
        <w:t>• Tệp hợp đồng: sample_contract.docx</w:t>
      </w:r>
    </w:p>
    <w:p>
      <w:pPr>
        <w:spacing w:after="40" w:before="0"/>
      </w:pPr>
      <w:r>
        <w:rPr>
          <w:rFonts w:ascii="Times New Roman" w:hAnsi="Times New Roman" w:cs="Times New Roman"/>
          <w:b w:val="0"/>
          <w:i w:val="0"/>
          <w:sz w:val="26"/>
        </w:rPr>
        <w:t>• Quy mô: 13 đoạn, 3 đề mục, 0 ghi chú (comment).</w:t>
      </w:r>
    </w:p>
    <w:p>
      <w:pPr>
        <w:spacing w:after="40" w:before="0"/>
      </w:pPr>
      <w:r>
        <w:rPr>
          <w:rFonts w:ascii="Times New Roman" w:hAnsi="Times New Roman" w:cs="Times New Roman"/>
          <w:b w:val="0"/>
          <w:i w:val="0"/>
          <w:sz w:val="26"/>
        </w:rPr>
        <w:t>• Kiểu kết cấu: Không xác định rõ.</w:t>
      </w:r>
    </w:p>
    <w:p>
      <w:pPr>
        <w:spacing w:after="40" w:before="0"/>
      </w:pPr>
      <w:r>
        <w:rPr>
          <w:rFonts w:ascii="Times New Roman" w:hAnsi="Times New Roman" w:cs="Times New Roman"/>
          <w:b w:val="0"/>
          <w:i w:val="0"/>
          <w:sz w:val="26"/>
        </w:rPr>
        <w:t>• Ngôn ngữ: vi.</w:t>
      </w:r>
    </w:p>
    <w:p>
      <w:pPr>
        <w:spacing w:after="40" w:before="0"/>
      </w:pPr>
      <w:r>
        <w:rPr>
          <w:rFonts w:ascii="Times New Roman" w:hAnsi="Times New Roman" w:cs="Times New Roman"/>
          <w:b w:val="0"/>
          <w:i w:val="0"/>
          <w:sz w:val="26"/>
        </w:rPr>
        <w:t>• Nguồn vốn: Vốn công / nhà nước / PPP (đoán).</w:t>
      </w:r>
    </w:p>
    <w:p>
      <w:pPr>
        <w:spacing w:after="40" w:before="0"/>
      </w:pPr>
      <w:r>
        <w:rPr>
          <w:rFonts w:ascii="Times New Roman" w:hAnsi="Times New Roman" w:cs="Times New Roman"/>
          <w:b w:val="0"/>
          <w:i w:val="0"/>
          <w:sz w:val="26"/>
        </w:rPr>
        <w:t>• Trần phạt áp dụng: 12% (Luật Xây dựng, Điều 146) — bắt buộc với vốn nhà nước.</w:t>
      </w:r>
    </w:p>
    <w:p>
      <w:pPr>
        <w:spacing w:after="160" w:before="0"/>
      </w:pPr>
      <w:r>
        <w:rPr>
          <w:rFonts w:ascii="Times New Roman" w:hAnsi="Times New Roman" w:cs="Times New Roman"/>
          <w:b w:val="0"/>
          <w:i w:val="0"/>
          <w:sz w:val="26"/>
        </w:rPr>
        <w:t>• Đối chiếu mẫu TT 02/2023/TT-BXD: Mẫu TT02 BẮT BUỘC áp dụng — viện dẫn để buộc tuân thủ.</w:t>
      </w:r>
    </w:p>
    <w:p>
      <w:pPr>
        <w:spacing w:after="120" w:before="0"/>
      </w:pPr>
      <w:r>
        <w:rPr>
          <w:rFonts w:ascii="Times New Roman" w:hAnsi="Times New Roman" w:cs="Times New Roman"/>
          <w:b/>
          <w:i w:val="0"/>
          <w:color w:val="1F3764"/>
          <w:sz w:val="28"/>
        </w:rPr>
        <w:t>1b. VAI TRÒ TƯ VẤN &amp; PHẠM VI CHUẨN</w:t>
      </w:r>
    </w:p>
    <w:p>
      <w:pPr>
        <w:spacing w:after="40" w:before="0"/>
      </w:pPr>
      <w:r>
        <w:rPr>
          <w:rFonts w:ascii="Times New Roman" w:hAnsi="Times New Roman" w:cs="Times New Roman"/>
          <w:b w:val="0"/>
          <w:i w:val="0"/>
          <w:sz w:val="26"/>
        </w:rPr>
        <w:t>• Vai trò chính (đoán): Tư vấn giám sát thi công (TVGS).</w:t>
      </w:r>
    </w:p>
    <w:p>
      <w:pPr>
        <w:spacing w:after="40" w:before="0"/>
      </w:pPr>
      <w:r>
        <w:rPr>
          <w:rFonts w:ascii="Times New Roman" w:hAnsi="Times New Roman" w:cs="Times New Roman"/>
          <w:b w:val="0"/>
          <w:i w:val="0"/>
          <w:sz w:val="22"/>
        </w:rPr>
        <w:t>• Phạm vi chuẩn: Kiểm tra năng lực nhà thầu; kiểm tra biện pháp thi công so với thiết kế đã duyệt; xem xét &amp; chấp thuận; kiểm tra vật liệu/thiết bị; đôn đốc tiến độ; giám sát an toàn; đề nghị điều chỉnh thiết kế khi phát hiện sai sót; yêu cầu tạm dừng khi mất an toàn; kiểm tra/xác nhận bản vẽ hoàn công; nghiệm thu &amp; xác nhận khối lượng.</w:t>
      </w:r>
    </w:p>
    <w:p>
      <w:pPr>
        <w:spacing w:after="40" w:before="0"/>
      </w:pPr>
      <w:r>
        <w:rPr>
          <w:rFonts w:ascii="Times New Roman" w:hAnsi="Times New Roman" w:cs="Times New Roman"/>
          <w:b w:val="0"/>
          <w:i w:val="0"/>
          <w:sz w:val="22"/>
        </w:rPr>
        <w:t>• Căn cứ pháp lý: Phạm vi: Điều 19 NĐ 06/2021. Năng lực: chứng chỉ giám sát thi công, Điều 107 NĐ 175/2024.</w:t>
      </w:r>
    </w:p>
    <w:p>
      <w:pPr>
        <w:spacing w:after="40" w:before="0"/>
      </w:pPr>
      <w:r>
        <w:rPr>
          <w:rFonts w:ascii="Times New Roman" w:hAnsi="Times New Roman" w:cs="Times New Roman"/>
          <w:b w:val="0"/>
          <w:i w:val="0"/>
          <w:sz w:val="22"/>
        </w:rPr>
        <w:t>• Yêu cầu độc lập: Tổ chức giám sát KHÔNG được tham gia kiểm định công trình do MÌNH giám sát (Điều 19.7.b NĐ 06/2021, công trình vốn nhà nước).</w:t>
      </w:r>
    </w:p>
    <w:p>
      <w:pPr>
        <w:spacing w:after="40" w:before="0"/>
      </w:pPr>
      <w:r>
        <w:rPr>
          <w:rFonts w:ascii="Times New Roman" w:hAnsi="Times New Roman" w:cs="Times New Roman"/>
          <w:b w:val="0"/>
          <w:i w:val="0"/>
          <w:sz w:val="22"/>
        </w:rPr>
        <w:t>• Lưu ý rà soát: Cờ đỏ nếu hợp đồng gán TVGS 'thẩm tra thiết kế', 'phê duyệt biện pháp', 'lập hồ sơ nghiệm thu' → vượt vai trò, đòi năng lực khác.</w:t>
      </w:r>
    </w:p>
    <w:p>
      <w:pPr>
        <w:spacing w:after="40" w:before="0"/>
      </w:pPr>
      <w:r>
        <w:rPr>
          <w:rFonts w:ascii="Times New Roman" w:hAnsi="Times New Roman" w:cs="Times New Roman"/>
          <w:b/>
          <w:i w:val="0"/>
          <w:color w:val="C00000"/>
          <w:sz w:val="22"/>
        </w:rPr>
        <w:t>• [Cờ đỏ – vượt vai trò] Hợp đồng giám sát (TVGS) lại gán việc THẨM TRA THIẾT KẾ — khác năng lực (Điều 104 vs 107 NĐ 175/2024). Tách phạm vi/phí hoặc bỏ; nếu giữ phải có chứng chỉ thẩm tra.</w:t>
      </w:r>
    </w:p>
    <w:p>
      <w:pPr>
        <w:spacing w:after="40" w:before="0"/>
      </w:pPr>
      <w:r>
        <w:rPr>
          <w:rFonts w:ascii="Times New Roman" w:hAnsi="Times New Roman" w:cs="Times New Roman"/>
          <w:b/>
          <w:i w:val="0"/>
          <w:color w:val="C00000"/>
          <w:sz w:val="22"/>
        </w:rPr>
        <w:t>• [Cờ đỏ – vượt vai trò] Hợp đồng TVGS gán cả KIỂM ĐỊNH — vi phạm yêu cầu độc lập: tổ chức giám sát không được kiểm định công trình do mình giám sát (Điều 19.7.b NĐ 06/2021).</w:t>
      </w:r>
    </w:p>
    <w:p>
      <w:pPr>
        <w:spacing w:after="120" w:before="0"/>
      </w:pPr>
    </w:p>
    <w:p>
      <w:pPr>
        <w:spacing w:after="120" w:before="0"/>
      </w:pPr>
      <w:r>
        <w:rPr>
          <w:rFonts w:ascii="Times New Roman" w:hAnsi="Times New Roman" w:cs="Times New Roman"/>
          <w:b/>
          <w:i w:val="0"/>
          <w:color w:val="1F3764"/>
          <w:sz w:val="28"/>
        </w:rPr>
        <w:t>2. TÓM TẮT ĐIỀU HÀNH</w:t>
      </w:r>
    </w:p>
    <w:p>
      <w:pPr>
        <w:spacing w:after="80" w:before="0"/>
      </w:pPr>
      <w:r>
        <w:rPr>
          <w:rFonts w:ascii="Times New Roman" w:hAnsi="Times New Roman" w:cs="Times New Roman"/>
          <w:b w:val="0"/>
          <w:i w:val="0"/>
          <w:sz w:val="26"/>
        </w:rPr>
        <w:t>Phát hiện 8 rủi ro mức CAO (đỏ), 1 rủi ro mức TRUNG BÌNH (cam), và 15 chủ đề chuẩn không thấy xuất hiện trong hợp đồng (trong đó 2 thuộc nhóm trọng yếu).</w:t>
      </w:r>
    </w:p>
    <w:p>
      <w:pPr>
        <w:spacing w:after="160" w:before="0"/>
      </w:pPr>
      <w:r>
        <w:rPr>
          <w:rFonts w:ascii="Times New Roman" w:hAnsi="Times New Roman" w:cs="Times New Roman"/>
          <w:b w:val="0"/>
          <w:i/>
          <w:sz w:val="22"/>
        </w:rPr>
        <w:t>Lưu ý: đây là kết quả rà soát SƠ BỘ bằng công cụ tự động (đối chiếu mẫu câu và độ phủ chủ đề), KHÔNG thay thế ý kiến luật sư. Mọi phát hiện cần người có chuyên môn kiểm chứng lại trên bản hợp đồng gốc trước khi đàm phán/ký.</w:t>
      </w:r>
    </w:p>
    <w:p>
      <w:pPr>
        <w:spacing w:after="120" w:before="0"/>
      </w:pPr>
      <w:r>
        <w:rPr>
          <w:rFonts w:ascii="Times New Roman" w:hAnsi="Times New Roman" w:cs="Times New Roman"/>
          <w:b/>
          <w:i w:val="0"/>
          <w:color w:val="1F3764"/>
          <w:sz w:val="28"/>
        </w:rPr>
        <w:t>3. BẢNG PHÂN TÍCH RỦI RO PHÁT HIỆN</w:t>
      </w:r>
    </w:p>
    <w:tbl>
      <w:tblPr>
        <w:tblStyle w:val="TableGrid"/>
        <w:tblW w:type="auto" w:w="0"/>
        <w:jc w:val="center"/>
        <w:tblLook w:firstColumn="1" w:firstRow="1" w:lastColumn="0" w:lastRow="0" w:noHBand="0" w:noVBand="1" w:val="04A0"/>
      </w:tblPr>
      <w:tblGrid>
        <w:gridCol w:w="3009"/>
        <w:gridCol w:w="3009"/>
        <w:gridCol w:w="3009"/>
      </w:tblGrid>
      <w:tr>
        <w:tc>
          <w:tcPr>
            <w:tcW w:type="dxa" w:w="1500"/>
            <w:shd w:val="clear" w:color="auto" w:fill="1F3764"/>
          </w:tcPr>
          <w:p>
            <w:pPr>
              <w:spacing w:after="40" w:before="40"/>
            </w:pPr>
            <w:r/>
            <w:r>
              <w:rPr>
                <w:rFonts w:ascii="Times New Roman" w:hAnsi="Times New Roman" w:cs="Times New Roman"/>
                <w:b/>
                <w:i w:val="0"/>
                <w:color w:val="FFFFFF"/>
                <w:sz w:val="22"/>
              </w:rPr>
              <w:t>Mức / Chủ đề</w:t>
            </w:r>
          </w:p>
        </w:tc>
        <w:tc>
          <w:tcPr>
            <w:tcW w:type="dxa" w:w="4400"/>
            <w:shd w:val="clear" w:color="auto" w:fill="1F3764"/>
          </w:tcPr>
          <w:p>
            <w:pPr>
              <w:spacing w:after="40" w:before="40"/>
            </w:pPr>
            <w:r/>
            <w:r>
              <w:rPr>
                <w:rFonts w:ascii="Times New Roman" w:hAnsi="Times New Roman" w:cs="Times New Roman"/>
                <w:b/>
                <w:i w:val="0"/>
                <w:color w:val="FFFFFF"/>
                <w:sz w:val="22"/>
              </w:rPr>
              <w:t>Vấn đề &amp; căn cứ</w:t>
            </w:r>
          </w:p>
        </w:tc>
        <w:tc>
          <w:tcPr>
            <w:tcW w:type="dxa" w:w="3126"/>
            <w:shd w:val="clear" w:color="auto" w:fill="1F3764"/>
          </w:tcPr>
          <w:p>
            <w:pPr>
              <w:spacing w:after="40" w:before="40"/>
            </w:pPr>
            <w:r/>
            <w:r>
              <w:rPr>
                <w:rFonts w:ascii="Times New Roman" w:hAnsi="Times New Roman" w:cs="Times New Roman"/>
                <w:b/>
                <w:i w:val="0"/>
                <w:color w:val="FFFFFF"/>
                <w:sz w:val="22"/>
              </w:rPr>
              <w:t>Đề xuất đàm phán</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3</w:t>
            </w:r>
          </w:p>
          <w:p>
            <w:r>
              <w:rPr>
                <w:rFonts w:ascii="Times New Roman" w:hAnsi="Times New Roman" w:cs="Times New Roman"/>
                <w:b w:val="0"/>
                <w:i/>
                <w:sz w:val="20"/>
              </w:rPr>
              <w:t>Gán TVGS 'thẩm tra / tối ưu hóa thiết kế'</w:t>
            </w:r>
          </w:p>
        </w:tc>
        <w:tc>
          <w:tcPr>
            <w:tcW w:type="dxa" w:w="4400"/>
          </w:tcPr>
          <w:p>
            <w:pPr>
              <w:spacing w:after="40" w:before="40"/>
            </w:pPr>
            <w:r/>
            <w:r>
              <w:rPr>
                <w:rFonts w:ascii="Times New Roman" w:hAnsi="Times New Roman" w:cs="Times New Roman"/>
                <w:b w:val="0"/>
                <w:i w:val="0"/>
                <w:sz w:val="22"/>
              </w:rPr>
              <w:t>Thẩm tra thiết kế là năng lực RIÊNG, không thuộc phạm vi giám sát thi công; gán cho TVGS làm phình trách nhiệm vượt năng lực/giấy phép.</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“Tư vấn giám sát có trách nhiệm thẩm tra thiết kế và phê duyệt biện pháp thi công của nhà thầu.”</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Điều 104 NĐ 175/2024 (năng lực thẩm tra thiết kế) tách biệt với Điều 107 (giám sát); Điều 19 NĐ 06/2021 giới hạn phạm vi giám sát.</w:t>
            </w:r>
          </w:p>
        </w:tc>
        <w:tc>
          <w:tcPr>
            <w:tcW w:type="dxa" w:w="3126"/>
          </w:tcPr>
          <w:p>
            <w:pPr>
              <w:spacing w:after="40" w:before="40"/>
            </w:pPr>
            <w:r/>
            <w:r>
              <w:rPr>
                <w:rFonts w:ascii="Times New Roman" w:hAnsi="Times New Roman" w:cs="Times New Roman"/>
                <w:b w:val="0"/>
                <w:i w:val="0"/>
                <w:sz w:val="22"/>
              </w:rPr>
              <w:t>Sửa thành 'rà soát, phát hiện bất cập, báo cáo CĐT'; nếu cần thẩm tra phải tách hợp đồng/phụ lục và điều chỉnh phí.</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3</w:t>
            </w:r>
          </w:p>
          <w:p>
            <w:r>
              <w:rPr>
                <w:rFonts w:ascii="Times New Roman" w:hAnsi="Times New Roman" w:cs="Times New Roman"/>
                <w:b w:val="0"/>
                <w:i/>
                <w:sz w:val="20"/>
              </w:rPr>
              <w:t>Gán TVGS 'phê duyệt' biện pháp/hồ sơ nhà thầu</w:t>
            </w:r>
          </w:p>
        </w:tc>
        <w:tc>
          <w:tcPr>
            <w:tcW w:type="dxa" w:w="4400"/>
          </w:tcPr>
          <w:p>
            <w:pPr>
              <w:spacing w:after="40" w:before="40"/>
            </w:pPr>
            <w:r/>
            <w:r>
              <w:rPr>
                <w:rFonts w:ascii="Times New Roman" w:hAnsi="Times New Roman" w:cs="Times New Roman"/>
                <w:b w:val="0"/>
                <w:i w:val="0"/>
                <w:sz w:val="22"/>
              </w:rPr>
              <w:t>Giám sát chỉ 'kiểm tra, có ý kiến chấp thuận'; phê duyệt biện pháp thi công là việc của CĐT. Gán phê duyệt = nhận trách nhiệm thay CĐT.</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“Tư vấn giám sát có trách nhiệm thẩm tra thiết kế và phê duyệt biện pháp thi công của nhà thầu.”</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Điều 19.1.b/c NĐ 06/2021: TVGS kiểm tra và chấp thuận; biện pháp do nhà thầu lập, CĐT phê duyệt.</w:t>
            </w:r>
          </w:p>
        </w:tc>
        <w:tc>
          <w:tcPr>
            <w:tcW w:type="dxa" w:w="3126"/>
          </w:tcPr>
          <w:p>
            <w:pPr>
              <w:spacing w:after="40" w:before="40"/>
            </w:pPr>
            <w:r/>
            <w:r>
              <w:rPr>
                <w:rFonts w:ascii="Times New Roman" w:hAnsi="Times New Roman" w:cs="Times New Roman"/>
                <w:b w:val="0"/>
                <w:i w:val="0"/>
                <w:sz w:val="22"/>
              </w:rPr>
              <w:t>Sửa thành 'kiểm tra, xem xét và có ý kiến/chấp thuận'; quyền phê duyệt thuộc CĐT.</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16</w:t>
            </w:r>
          </w:p>
          <w:p>
            <w:r>
              <w:rPr>
                <w:rFonts w:ascii="Times New Roman" w:hAnsi="Times New Roman" w:cs="Times New Roman"/>
                <w:b w:val="0"/>
                <w:i/>
                <w:sz w:val="20"/>
              </w:rPr>
              <w:t>Phạt % tính trên TỔNG giá trị hợp đồng</w:t>
            </w:r>
          </w:p>
        </w:tc>
        <w:tc>
          <w:tcPr>
            <w:tcW w:type="dxa" w:w="4400"/>
          </w:tcPr>
          <w:p>
            <w:pPr>
              <w:spacing w:after="40" w:before="40"/>
            </w:pPr>
            <w:r/>
            <w:r>
              <w:rPr>
                <w:rFonts w:ascii="Times New Roman" w:hAnsi="Times New Roman" w:cs="Times New Roman"/>
                <w:b w:val="0"/>
                <w:i w:val="0"/>
                <w:sz w:val="22"/>
              </w:rPr>
              <w:t>Phạt phải tính trên phần nghĩa vụ bị vi phạm, không phải tổng HĐ. Tính trên tổng HĐ làm mức phạt phình to bất hợp lý.</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“Bên B chịu phạt 12% tổng giá trị hợp đồng cho bất kỳ vi phạm nào.”</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Điều 146 Luật Xây dựng / Điều 301 Luật Thương mại: phạt trên giá trị phần nghĩa vụ bị vi phạm; trần 8% (Luật TM, ngoài vốn NN) / 12% (Luật XD, vốn NN).</w:t>
            </w:r>
          </w:p>
        </w:tc>
        <w:tc>
          <w:tcPr>
            <w:tcW w:type="dxa" w:w="3126"/>
          </w:tcPr>
          <w:p>
            <w:pPr>
              <w:spacing w:after="40" w:before="40"/>
            </w:pPr>
            <w:r/>
            <w:r>
              <w:rPr>
                <w:rFonts w:ascii="Times New Roman" w:hAnsi="Times New Roman" w:cs="Times New Roman"/>
                <w:b w:val="0"/>
                <w:i w:val="0"/>
                <w:sz w:val="22"/>
              </w:rPr>
              <w:t>Sửa: phạt tính trên 'giá trị phần nghĩa vụ bị vi phạm'; ấn định trần tổng phạt ≤ 8% (hoặc 12%).</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16</w:t>
            </w:r>
          </w:p>
          <w:p>
            <w:r>
              <w:rPr>
                <w:rFonts w:ascii="Times New Roman" w:hAnsi="Times New Roman" w:cs="Times New Roman"/>
                <w:b w:val="0"/>
                <w:i/>
                <w:sz w:val="20"/>
              </w:rPr>
              <w:t>Bồi thường 'toàn bộ thiệt hại' không có trần</w:t>
            </w:r>
          </w:p>
        </w:tc>
        <w:tc>
          <w:tcPr>
            <w:tcW w:type="dxa" w:w="4400"/>
          </w:tcPr>
          <w:p>
            <w:pPr>
              <w:spacing w:after="40" w:before="40"/>
            </w:pPr>
            <w:r/>
            <w:r>
              <w:rPr>
                <w:rFonts w:ascii="Times New Roman" w:hAnsi="Times New Roman" w:cs="Times New Roman"/>
                <w:b w:val="0"/>
                <w:i w:val="0"/>
                <w:sz w:val="22"/>
              </w:rPr>
              <w:t>Bồi thường 'toàn bộ thiệt hại trực tiếp VÀ gián tiếp' không trần = trách nhiệm vô hạn. Trần phạt thường KHÔNG tự động áp cho bồi thường.</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“Bên B phải bồi thường toàn bộ thiệt hại trực tiếp và gián tiếp.”</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BLDS 2015 Điều 360, 419; thông lệ tư vấn quốc tế có liability cap. Mẫu TT02 cân bằng trách nhiệm.</w:t>
            </w:r>
          </w:p>
        </w:tc>
        <w:tc>
          <w:tcPr>
            <w:tcW w:type="dxa" w:w="3126"/>
          </w:tcPr>
          <w:p>
            <w:pPr>
              <w:spacing w:after="40" w:before="40"/>
            </w:pPr>
            <w:r/>
            <w:r>
              <w:rPr>
                <w:rFonts w:ascii="Times New Roman" w:hAnsi="Times New Roman" w:cs="Times New Roman"/>
                <w:b w:val="0"/>
                <w:i w:val="0"/>
                <w:sz w:val="22"/>
              </w:rPr>
              <w:t>Thêm trần TỔNG trách nhiệm (gồm bồi thường, tối đa = giá trị HĐ); loại trừ thiệt hại gián tiếp/mất lợi nhuận; gắn với mức bảo hiểm.</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16</w:t>
            </w:r>
          </w:p>
          <w:p>
            <w:r>
              <w:rPr>
                <w:rFonts w:ascii="Times New Roman" w:hAnsi="Times New Roman" w:cs="Times New Roman"/>
                <w:b w:val="0"/>
                <w:i/>
                <w:sz w:val="20"/>
              </w:rPr>
              <w:t>Buộc 'hoàn trả toàn bộ tiền đã thanh toán'</w:t>
            </w:r>
          </w:p>
        </w:tc>
        <w:tc>
          <w:tcPr>
            <w:tcW w:type="dxa" w:w="4400"/>
          </w:tcPr>
          <w:p>
            <w:pPr>
              <w:spacing w:after="40" w:before="40"/>
            </w:pPr>
            <w:r/>
            <w:r>
              <w:rPr>
                <w:rFonts w:ascii="Times New Roman" w:hAnsi="Times New Roman" w:cs="Times New Roman"/>
                <w:b w:val="0"/>
                <w:i w:val="0"/>
                <w:sz w:val="22"/>
              </w:rPr>
              <w:t>Khi chấm dứt do lỗi/sự cố, buộc hoàn trả toàn bộ tiền đã nhận là phạt chồng phạt, phủ nhận phần dịch vụ đã thực hiện.</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“Khi chấm dứt, Bên B phải hoàn trả toàn bộ số tiền đã thanh toán.”</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BLDS 2015: chỉ hoàn phần chưa thực hiện; thiệt hại phải có chứng minh. Phạt vượt trần có thể vô hiệu.</w:t>
            </w:r>
          </w:p>
        </w:tc>
        <w:tc>
          <w:tcPr>
            <w:tcW w:type="dxa" w:w="3126"/>
          </w:tcPr>
          <w:p>
            <w:pPr>
              <w:spacing w:after="40" w:before="40"/>
            </w:pPr>
            <w:r/>
            <w:r>
              <w:rPr>
                <w:rFonts w:ascii="Times New Roman" w:hAnsi="Times New Roman" w:cs="Times New Roman"/>
                <w:b w:val="0"/>
                <w:i w:val="0"/>
                <w:sz w:val="22"/>
              </w:rPr>
              <w:t>Bỏ điều khoản hoàn trả toàn bộ; chỉ hoàn phần chưa thực hiện và bồi thường tương ứng phần lỗi có chứng minh.</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18</w:t>
            </w:r>
          </w:p>
          <w:p>
            <w:r>
              <w:rPr>
                <w:rFonts w:ascii="Times New Roman" w:hAnsi="Times New Roman" w:cs="Times New Roman"/>
                <w:b w:val="0"/>
                <w:i/>
                <w:sz w:val="20"/>
              </w:rPr>
              <w:t>CĐT chấm dứt 'vì thuận tiện / không cần lý do'</w:t>
            </w:r>
          </w:p>
        </w:tc>
        <w:tc>
          <w:tcPr>
            <w:tcW w:type="dxa" w:w="4400"/>
          </w:tcPr>
          <w:p>
            <w:pPr>
              <w:spacing w:after="40" w:before="40"/>
            </w:pPr>
            <w:r/>
            <w:r>
              <w:rPr>
                <w:rFonts w:ascii="Times New Roman" w:hAnsi="Times New Roman" w:cs="Times New Roman"/>
                <w:b w:val="0"/>
                <w:i w:val="0"/>
                <w:sz w:val="22"/>
              </w:rPr>
              <w:t>Cho phép CĐT đơn phương chấm dứt tùy ý. Nếu không kèm nghĩa vụ thanh toán phần đã làm + chi phí huy động thì TVGS chịu thiệt.</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“Chủ đầu tư được quyền chấm dứt hợp đồng tại bất kỳ thời điểm nào không cần nêu lý do.”</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Mẫu TT02 và thông lệ: chấm dứt vì thuận tiện phải thanh toán phần đã thực hiện + chi phí không hủy được + đền bù hợp lý.</w:t>
            </w:r>
          </w:p>
        </w:tc>
        <w:tc>
          <w:tcPr>
            <w:tcW w:type="dxa" w:w="3126"/>
          </w:tcPr>
          <w:p>
            <w:pPr>
              <w:spacing w:after="40" w:before="40"/>
            </w:pPr>
            <w:r/>
            <w:r>
              <w:rPr>
                <w:rFonts w:ascii="Times New Roman" w:hAnsi="Times New Roman" w:cs="Times New Roman"/>
                <w:b w:val="0"/>
                <w:i w:val="0"/>
                <w:sz w:val="22"/>
              </w:rPr>
              <w:t>Bổ sung: khi CĐT chấm dứt vì thuận tiện phải thanh toán phần đã làm, chi phí huy động/giải thể và một khoản đền bù.</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21</w:t>
            </w:r>
          </w:p>
          <w:p>
            <w:r>
              <w:rPr>
                <w:rFonts w:ascii="Times New Roman" w:hAnsi="Times New Roman" w:cs="Times New Roman"/>
                <w:b w:val="0"/>
                <w:i/>
                <w:sz w:val="20"/>
              </w:rPr>
              <w:t>Ngôn ngữ ưu tiên là tiếng nước ngoài</w:t>
            </w:r>
          </w:p>
        </w:tc>
        <w:tc>
          <w:tcPr>
            <w:tcW w:type="dxa" w:w="4400"/>
          </w:tcPr>
          <w:p>
            <w:pPr>
              <w:spacing w:after="40" w:before="40"/>
            </w:pPr>
            <w:r/>
            <w:r>
              <w:rPr>
                <w:rFonts w:ascii="Times New Roman" w:hAnsi="Times New Roman" w:cs="Times New Roman"/>
                <w:b w:val="0"/>
                <w:i w:val="0"/>
                <w:sz w:val="22"/>
              </w:rPr>
              <w:t>Khi hợp đồng song ngữ lấy bản tiếng nước ngoài làm chuẩn, mọi khác biệt câu chữ sẽ giải thích bất lợi cho TVGS, nhất là khi tố tụng tại VN.</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“The Consultant shall indemnify and hold harmless the Employer. The English version shall prevail.”</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Khi luật áp dụng là VN và tố tụng tại VN, nên giữ tiếng Việt ưu tiên.</w:t>
            </w:r>
          </w:p>
        </w:tc>
        <w:tc>
          <w:tcPr>
            <w:tcW w:type="dxa" w:w="3126"/>
          </w:tcPr>
          <w:p>
            <w:pPr>
              <w:spacing w:after="40" w:before="40"/>
            </w:pPr>
            <w:r/>
            <w:r>
              <w:rPr>
                <w:rFonts w:ascii="Times New Roman" w:hAnsi="Times New Roman" w:cs="Times New Roman"/>
                <w:b w:val="0"/>
                <w:i w:val="0"/>
                <w:sz w:val="22"/>
              </w:rPr>
              <w:t>Giữ bản tiếng Việt ưu tiên (hoặc ít nhất ngang giá trị); đối chiếu kỹ câu chữ hai bản trước khi ký.</w:t>
            </w:r>
          </w:p>
        </w:tc>
      </w:tr>
      <w:tr>
        <w:tc>
          <w:tcPr>
            <w:tcW w:type="dxa" w:w="1500"/>
            <w:shd w:val="clear" w:color="auto" w:fill="F8CBAD"/>
          </w:tcPr>
          <w:p>
            <w:pPr>
              <w:spacing w:after="40" w:before="40"/>
            </w:pPr>
            <w:r/>
            <w:r>
              <w:rPr>
                <w:rFonts w:ascii="Times New Roman" w:hAnsi="Times New Roman" w:cs="Times New Roman"/>
                <w:b/>
                <w:i w:val="0"/>
                <w:color w:val="C00000"/>
                <w:sz w:val="22"/>
              </w:rPr>
              <w:t>[Cao]</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25</w:t>
            </w:r>
          </w:p>
          <w:p>
            <w:r>
              <w:rPr>
                <w:rFonts w:ascii="Times New Roman" w:hAnsi="Times New Roman" w:cs="Times New Roman"/>
                <w:b w:val="0"/>
                <w:i/>
                <w:sz w:val="20"/>
              </w:rPr>
              <w:t>Indemnify / hold harmless (bồi hoàn, gánh chịu thay)</w:t>
            </w:r>
          </w:p>
        </w:tc>
        <w:tc>
          <w:tcPr>
            <w:tcW w:type="dxa" w:w="4400"/>
          </w:tcPr>
          <w:p>
            <w:pPr>
              <w:spacing w:after="40" w:before="40"/>
            </w:pPr>
            <w:r/>
            <w:r>
              <w:rPr>
                <w:rFonts w:ascii="Times New Roman" w:hAnsi="Times New Roman" w:cs="Times New Roman"/>
                <w:b w:val="0"/>
                <w:i w:val="0"/>
                <w:sz w:val="22"/>
              </w:rPr>
              <w:t>TVGS 'bồi hoàn và giữ CĐT vô hại' trước MỌI khiếu nại/tổn thất — phạm vi cực rộng, thường không trần, không loại trừ gián tiếp.</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“The Consultant shall indemnify and hold harmless the Employer. The English version shall prevail.”</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Thông lệ tư vấn quốc tế giới hạn indemnity theo phần lỗi và có trần; BLDS chỉ bồi thường thiệt hại do lỗi.</w:t>
            </w:r>
          </w:p>
        </w:tc>
        <w:tc>
          <w:tcPr>
            <w:tcW w:type="dxa" w:w="3126"/>
          </w:tcPr>
          <w:p>
            <w:pPr>
              <w:spacing w:after="40" w:before="40"/>
            </w:pPr>
            <w:r/>
            <w:r>
              <w:rPr>
                <w:rFonts w:ascii="Times New Roman" w:hAnsi="Times New Roman" w:cs="Times New Roman"/>
                <w:b w:val="0"/>
                <w:i w:val="0"/>
                <w:sz w:val="22"/>
              </w:rPr>
              <w:t>Thêm trần trách nhiệm; loại trừ thiệt hại gián tiếp; giới hạn indemnity theo phần lỗi của TVGS và mức bảo hiểm.</w:t>
            </w:r>
          </w:p>
        </w:tc>
      </w:tr>
      <w:tr>
        <w:tc>
          <w:tcPr>
            <w:tcW w:type="dxa" w:w="1500"/>
            <w:shd w:val="clear" w:color="auto" w:fill="FCE4D6"/>
          </w:tcPr>
          <w:p>
            <w:pPr>
              <w:spacing w:after="40" w:before="40"/>
            </w:pPr>
            <w:r/>
            <w:r>
              <w:rPr>
                <w:rFonts w:ascii="Times New Roman" w:hAnsi="Times New Roman" w:cs="Times New Roman"/>
                <w:b/>
                <w:i w:val="0"/>
                <w:color w:val="C45911"/>
                <w:sz w:val="22"/>
              </w:rPr>
              <w:t>[Trung bình]</w:t>
            </w:r>
          </w:p>
          <w:p>
            <w:pPr>
              <w:spacing w:after="40" w:before="0"/>
            </w:pPr>
            <w:r>
              <w:rPr>
                <w:rFonts w:ascii="Times New Roman" w:hAnsi="Times New Roman" w:cs="Times New Roman"/>
                <w:b/>
                <w:i w:val="0"/>
                <w:sz w:val="22"/>
              </w:rPr>
              <w:t xml:space="preserve">Chủ đề </w:t>
            </w:r>
            <w:r>
              <w:rPr>
                <w:rFonts w:ascii="Times New Roman" w:hAnsi="Times New Roman" w:cs="Times New Roman"/>
                <w:b w:val="0"/>
                <w:i w:val="0"/>
                <w:sz w:val="22"/>
              </w:rPr>
              <w:t>3</w:t>
            </w:r>
          </w:p>
          <w:p>
            <w:r>
              <w:rPr>
                <w:rFonts w:ascii="Times New Roman" w:hAnsi="Times New Roman" w:cs="Times New Roman"/>
                <w:b w:val="0"/>
                <w:i/>
                <w:sz w:val="20"/>
              </w:rPr>
              <w:t>Phạm vi 'bao gồm nhưng không giới hạn'</w:t>
            </w:r>
          </w:p>
        </w:tc>
        <w:tc>
          <w:tcPr>
            <w:tcW w:type="dxa" w:w="4400"/>
          </w:tcPr>
          <w:p>
            <w:pPr>
              <w:spacing w:after="40" w:before="40"/>
            </w:pPr>
            <w:r/>
            <w:r>
              <w:rPr>
                <w:rFonts w:ascii="Times New Roman" w:hAnsi="Times New Roman" w:cs="Times New Roman"/>
                <w:b w:val="0"/>
                <w:i w:val="0"/>
                <w:sz w:val="22"/>
              </w:rPr>
              <w:t>Cụm này mở phạm vi vô hạn, cho phép CĐT yêu cầu thêm việc ngoài dự kiến mà không tăng phí.</w:t>
            </w:r>
          </w:p>
          <w:p>
            <w:pPr>
              <w:spacing w:after="40" w:before="0"/>
            </w:pPr>
            <w:r>
              <w:rPr>
                <w:rFonts w:ascii="Times New Roman" w:hAnsi="Times New Roman" w:cs="Times New Roman"/>
                <w:b/>
                <w:i w:val="0"/>
                <w:sz w:val="20"/>
              </w:rPr>
              <w:t xml:space="preserve">Trích: </w:t>
            </w:r>
            <w:r>
              <w:rPr>
                <w:rFonts w:ascii="Times New Roman" w:hAnsi="Times New Roman" w:cs="Times New Roman"/>
                <w:b w:val="0"/>
                <w:i w:val="0"/>
                <w:sz w:val="20"/>
              </w:rPr>
              <w:t>“Phạm vi bao gồm nhưng không giới hạn các nội dung giám sát thi công.”</w:t>
            </w:r>
          </w:p>
          <w:p>
            <w:pPr>
              <w:spacing w:after="40" w:before="0"/>
            </w:pPr>
            <w:r>
              <w:rPr>
                <w:rFonts w:ascii="Times New Roman" w:hAnsi="Times New Roman" w:cs="Times New Roman"/>
                <w:b/>
                <w:i w:val="0"/>
                <w:sz w:val="20"/>
              </w:rPr>
              <w:t xml:space="preserve">Căn cứ: </w:t>
            </w:r>
            <w:r>
              <w:rPr>
                <w:rFonts w:ascii="Times New Roman" w:hAnsi="Times New Roman" w:cs="Times New Roman"/>
                <w:b w:val="0"/>
                <w:i w:val="0"/>
                <w:sz w:val="20"/>
              </w:rPr>
              <w:t>Điều 19 NĐ 06/2021 (phạm vi giám sát có giới hạn); mẫu TT02 gắn phạm vi với phụ lục công việc cụ thể.</w:t>
            </w:r>
          </w:p>
        </w:tc>
        <w:tc>
          <w:tcPr>
            <w:tcW w:type="dxa" w:w="3126"/>
          </w:tcPr>
          <w:p>
            <w:pPr>
              <w:spacing w:after="40" w:before="40"/>
            </w:pPr>
            <w:r/>
            <w:r>
              <w:rPr>
                <w:rFonts w:ascii="Times New Roman" w:hAnsi="Times New Roman" w:cs="Times New Roman"/>
                <w:b w:val="0"/>
                <w:i w:val="0"/>
                <w:sz w:val="22"/>
              </w:rPr>
              <w:t>Giới hạn phạm vi theo Phụ lục công việc; việc ngoài phạm vi phải lập phụ lục và điều chỉnh phí.</w:t>
            </w:r>
          </w:p>
        </w:tc>
      </w:tr>
    </w:tbl>
    <w:p>
      <w:pPr>
        <w:spacing w:after="120" w:before="0"/>
      </w:pPr>
    </w:p>
    <w:p>
      <w:pPr>
        <w:spacing w:after="120" w:before="0"/>
      </w:pPr>
      <w:r>
        <w:rPr>
          <w:rFonts w:ascii="Times New Roman" w:hAnsi="Times New Roman" w:cs="Times New Roman"/>
          <w:b/>
          <w:i w:val="0"/>
          <w:color w:val="1F3764"/>
          <w:sz w:val="28"/>
        </w:rPr>
        <w:t>4. ĐỘ PHỦ 21 CHỦ ĐỀ CHUẨN (chủ đề THIẾU cũng là rủi ro)</w:t>
      </w:r>
    </w:p>
    <w:tbl>
      <w:tblPr>
        <w:tblStyle w:val="TableGrid"/>
        <w:tblW w:type="auto" w:w="0"/>
        <w:jc w:val="center"/>
        <w:tblLook w:firstColumn="1" w:firstRow="1" w:lastColumn="0" w:lastRow="0" w:noHBand="0" w:noVBand="1" w:val="04A0"/>
      </w:tblPr>
      <w:tblGrid>
        <w:gridCol w:w="3009"/>
        <w:gridCol w:w="3009"/>
        <w:gridCol w:w="3009"/>
      </w:tblGrid>
      <w:tr>
        <w:tc>
          <w:tcPr>
            <w:tcW w:type="dxa" w:w="800"/>
            <w:shd w:val="clear" w:color="auto" w:fill="1F3764"/>
          </w:tcPr>
          <w:p>
            <w:pPr>
              <w:spacing w:after="40" w:before="40"/>
            </w:pPr>
            <w:r/>
            <w:r>
              <w:rPr>
                <w:rFonts w:ascii="Times New Roman" w:hAnsi="Times New Roman" w:cs="Times New Roman"/>
                <w:b/>
                <w:i w:val="0"/>
                <w:color w:val="FFFFFF"/>
                <w:sz w:val="22"/>
              </w:rPr>
              <w:t>Mức</w:t>
            </w:r>
          </w:p>
        </w:tc>
        <w:tc>
          <w:tcPr>
            <w:tcW w:type="dxa" w:w="3200"/>
            <w:shd w:val="clear" w:color="auto" w:fill="1F3764"/>
          </w:tcPr>
          <w:p>
            <w:pPr>
              <w:spacing w:after="40" w:before="40"/>
            </w:pPr>
            <w:r/>
            <w:r>
              <w:rPr>
                <w:rFonts w:ascii="Times New Roman" w:hAnsi="Times New Roman" w:cs="Times New Roman"/>
                <w:b/>
                <w:i w:val="0"/>
                <w:color w:val="FFFFFF"/>
                <w:sz w:val="22"/>
              </w:rPr>
              <w:t>Chủ đề thiếu</w:t>
            </w:r>
          </w:p>
        </w:tc>
        <w:tc>
          <w:tcPr>
            <w:tcW w:type="dxa" w:w="5026"/>
            <w:shd w:val="clear" w:color="auto" w:fill="1F3764"/>
          </w:tcPr>
          <w:p>
            <w:pPr>
              <w:spacing w:after="40" w:before="40"/>
            </w:pPr>
            <w:r/>
            <w:r>
              <w:rPr>
                <w:rFonts w:ascii="Times New Roman" w:hAnsi="Times New Roman" w:cs="Times New Roman"/>
                <w:b/>
                <w:i w:val="0"/>
                <w:color w:val="FFFFFF"/>
                <w:sz w:val="22"/>
              </w:rPr>
              <w:t>Khuyến nghị</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1. Định nghĩa &amp; diễn giải</w:t>
            </w:r>
          </w:p>
        </w:tc>
        <w:tc>
          <w:tcPr>
            <w:tcW w:type="dxa" w:w="5026"/>
          </w:tcPr>
          <w:p>
            <w:pPr>
              <w:spacing w:after="40" w:before="40"/>
            </w:pPr>
            <w:r/>
            <w:r>
              <w:rPr>
                <w:rFonts w:ascii="Times New Roman" w:hAnsi="Times New Roman" w:cs="Times New Roman"/>
                <w:b w:val="0"/>
                <w:i w:val="0"/>
                <w:sz w:val="22"/>
              </w:rPr>
              <w:t>Không có mục định nghĩa/diễn giải — các thuật ngữ 'phạm vi', 'hoàn thành', 'chấp thuận' dễ bị hiểu rộng bất lợi cho TVGS.</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2. Hồ sơ hợp đồng &amp; thứ tự ưu tiên</w:t>
            </w:r>
          </w:p>
        </w:tc>
        <w:tc>
          <w:tcPr>
            <w:tcW w:type="dxa" w:w="5026"/>
          </w:tcPr>
          <w:p>
            <w:pPr>
              <w:spacing w:after="40" w:before="40"/>
            </w:pPr>
            <w:r/>
            <w:r>
              <w:rPr>
                <w:rFonts w:ascii="Times New Roman" w:hAnsi="Times New Roman" w:cs="Times New Roman"/>
                <w:b w:val="0"/>
                <w:i w:val="0"/>
                <w:sz w:val="22"/>
              </w:rPr>
              <w:t>Không quy định thứ tự ưu tiên hồ sơ — khi tài liệu mâu thuẫn sẽ tranh chấp cách hiểu.</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5. Thời gian, tiến độ, tạm ngừng</w:t>
            </w:r>
          </w:p>
        </w:tc>
        <w:tc>
          <w:tcPr>
            <w:tcW w:type="dxa" w:w="5026"/>
          </w:tcPr>
          <w:p>
            <w:pPr>
              <w:spacing w:after="40" w:before="40"/>
            </w:pPr>
            <w:r/>
            <w:r>
              <w:rPr>
                <w:rFonts w:ascii="Times New Roman" w:hAnsi="Times New Roman" w:cs="Times New Roman"/>
                <w:b w:val="0"/>
                <w:i w:val="0"/>
                <w:sz w:val="22"/>
              </w:rPr>
              <w:t>Không quy định rõ thời gian/tiến độ và cơ chế khi kéo dài ngoài lỗi TVGS.</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7. Tạm ứng, thu hồi, giữ lại</w:t>
            </w:r>
          </w:p>
        </w:tc>
        <w:tc>
          <w:tcPr>
            <w:tcW w:type="dxa" w:w="5026"/>
          </w:tcPr>
          <w:p>
            <w:pPr>
              <w:spacing w:after="40" w:before="40"/>
            </w:pPr>
            <w:r/>
            <w:r>
              <w:rPr>
                <w:rFonts w:ascii="Times New Roman" w:hAnsi="Times New Roman" w:cs="Times New Roman"/>
                <w:b w:val="0"/>
                <w:i w:val="0"/>
                <w:sz w:val="22"/>
              </w:rPr>
              <w:t>Không có điều khoản tạm ứng/giữ lại — bất lợi dòng tiền cho TVGS (mẫu TT02 thường có tạm ứng).</w:t>
            </w:r>
          </w:p>
        </w:tc>
      </w:tr>
      <w:tr>
        <w:tc>
          <w:tcPr>
            <w:tcW w:type="dxa" w:w="800"/>
            <w:shd w:val="clear" w:color="auto" w:fill="E2EFDA"/>
          </w:tcPr>
          <w:p>
            <w:pPr>
              <w:spacing w:after="40" w:before="40"/>
            </w:pPr>
            <w:r/>
            <w:r>
              <w:rPr>
                <w:rFonts w:ascii="Times New Roman" w:hAnsi="Times New Roman" w:cs="Times New Roman"/>
                <w:b/>
                <w:i w:val="0"/>
                <w:color w:val="2E7D32"/>
                <w:sz w:val="20"/>
              </w:rPr>
              <w:t>Ổn / Có lợi</w:t>
            </w:r>
          </w:p>
        </w:tc>
        <w:tc>
          <w:tcPr>
            <w:tcW w:type="dxa" w:w="3200"/>
          </w:tcPr>
          <w:p>
            <w:pPr>
              <w:spacing w:after="40" w:before="40"/>
            </w:pPr>
            <w:r/>
            <w:r>
              <w:rPr>
                <w:rFonts w:ascii="Times New Roman" w:hAnsi="Times New Roman" w:cs="Times New Roman"/>
                <w:b w:val="0"/>
                <w:i w:val="0"/>
                <w:sz w:val="22"/>
              </w:rPr>
              <w:t>9. Bảo lãnh (thực hiện HĐ / hoàn trả tạm ứng)</w:t>
            </w:r>
          </w:p>
        </w:tc>
        <w:tc>
          <w:tcPr>
            <w:tcW w:type="dxa" w:w="5026"/>
          </w:tcPr>
          <w:p>
            <w:pPr>
              <w:spacing w:after="40" w:before="40"/>
            </w:pPr>
            <w:r/>
            <w:r>
              <w:rPr>
                <w:rFonts w:ascii="Times New Roman" w:hAnsi="Times New Roman" w:cs="Times New Roman"/>
                <w:b w:val="0"/>
                <w:i w:val="0"/>
                <w:sz w:val="22"/>
              </w:rPr>
              <w:t>Không yêu cầu bảo lãnh — thường có lợi cho TVGS (giảm chi phí), nhưng kiểm tra lại.</w:t>
            </w:r>
          </w:p>
        </w:tc>
      </w:tr>
      <w:tr>
        <w:tc>
          <w:tcPr>
            <w:tcW w:type="dxa" w:w="800"/>
            <w:shd w:val="clear" w:color="auto" w:fill="E2EFDA"/>
          </w:tcPr>
          <w:p>
            <w:pPr>
              <w:spacing w:after="40" w:before="40"/>
            </w:pPr>
            <w:r/>
            <w:r>
              <w:rPr>
                <w:rFonts w:ascii="Times New Roman" w:hAnsi="Times New Roman" w:cs="Times New Roman"/>
                <w:b/>
                <w:i w:val="0"/>
                <w:color w:val="2E7D32"/>
                <w:sz w:val="20"/>
              </w:rPr>
              <w:t>Ổn / Có lợi</w:t>
            </w:r>
          </w:p>
        </w:tc>
        <w:tc>
          <w:tcPr>
            <w:tcW w:type="dxa" w:w="3200"/>
          </w:tcPr>
          <w:p>
            <w:pPr>
              <w:spacing w:after="40" w:before="40"/>
            </w:pPr>
            <w:r/>
            <w:r>
              <w:rPr>
                <w:rFonts w:ascii="Times New Roman" w:hAnsi="Times New Roman" w:cs="Times New Roman"/>
                <w:b w:val="0"/>
                <w:i w:val="0"/>
                <w:sz w:val="22"/>
              </w:rPr>
              <w:t>10. Bảo hiểm</w:t>
            </w:r>
          </w:p>
        </w:tc>
        <w:tc>
          <w:tcPr>
            <w:tcW w:type="dxa" w:w="5026"/>
          </w:tcPr>
          <w:p>
            <w:pPr>
              <w:spacing w:after="40" w:before="40"/>
            </w:pPr>
            <w:r/>
            <w:r>
              <w:rPr>
                <w:rFonts w:ascii="Times New Roman" w:hAnsi="Times New Roman" w:cs="Times New Roman"/>
                <w:b w:val="0"/>
                <w:i w:val="0"/>
                <w:sz w:val="22"/>
              </w:rPr>
              <w:t>Không có yêu cầu bảo hiểm — thường ổn với TVGS, nhưng xác nhận lại.</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11. Nghĩa vụ &amp; trách nhiệm Bên B (TVGS)</w:t>
            </w:r>
          </w:p>
        </w:tc>
        <w:tc>
          <w:tcPr>
            <w:tcW w:type="dxa" w:w="5026"/>
          </w:tcPr>
          <w:p>
            <w:pPr>
              <w:spacing w:after="40" w:before="40"/>
            </w:pPr>
            <w:r/>
            <w:r>
              <w:rPr>
                <w:rFonts w:ascii="Times New Roman" w:hAnsi="Times New Roman" w:cs="Times New Roman"/>
                <w:b w:val="0"/>
                <w:i w:val="0"/>
                <w:sz w:val="22"/>
              </w:rPr>
              <w:t>Không tách rõ nghĩa vụ Bên B — khó khoanh vùng trách nhiệm.</w:t>
            </w:r>
          </w:p>
        </w:tc>
      </w:tr>
      <w:tr>
        <w:tc>
          <w:tcPr>
            <w:tcW w:type="dxa" w:w="800"/>
            <w:shd w:val="clear" w:color="auto" w:fill="F8CBAD"/>
          </w:tcPr>
          <w:p>
            <w:pPr>
              <w:spacing w:after="40" w:before="40"/>
            </w:pPr>
            <w:r/>
            <w:r>
              <w:rPr>
                <w:rFonts w:ascii="Times New Roman" w:hAnsi="Times New Roman" w:cs="Times New Roman"/>
                <w:b/>
                <w:i w:val="0"/>
                <w:color w:val="C00000"/>
                <w:sz w:val="20"/>
              </w:rPr>
              <w:t>Cao</w:t>
            </w:r>
          </w:p>
        </w:tc>
        <w:tc>
          <w:tcPr>
            <w:tcW w:type="dxa" w:w="3200"/>
          </w:tcPr>
          <w:p>
            <w:pPr>
              <w:spacing w:after="40" w:before="40"/>
            </w:pPr>
            <w:r/>
            <w:r>
              <w:rPr>
                <w:rFonts w:ascii="Times New Roman" w:hAnsi="Times New Roman" w:cs="Times New Roman"/>
                <w:b w:val="0"/>
                <w:i w:val="0"/>
                <w:sz w:val="22"/>
              </w:rPr>
              <w:t>12. Nghĩa vụ &amp; chế tài đối với CĐT (đối xứng)</w:t>
            </w:r>
          </w:p>
        </w:tc>
        <w:tc>
          <w:tcPr>
            <w:tcW w:type="dxa" w:w="5026"/>
          </w:tcPr>
          <w:p>
            <w:pPr>
              <w:spacing w:after="40" w:before="40"/>
            </w:pPr>
            <w:r/>
            <w:r>
              <w:rPr>
                <w:rFonts w:ascii="Times New Roman" w:hAnsi="Times New Roman" w:cs="Times New Roman"/>
                <w:b w:val="0"/>
                <w:i w:val="0"/>
                <w:sz w:val="22"/>
              </w:rPr>
              <w:t>Không thấy nghĩa vụ/chế tài đối với CĐT — mất đối xứng, TVGS không có công cụ khi CĐT chậm tài liệu/mặt bằng/thanh toán.</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13. Nhân lực</w:t>
            </w:r>
          </w:p>
        </w:tc>
        <w:tc>
          <w:tcPr>
            <w:tcW w:type="dxa" w:w="5026"/>
          </w:tcPr>
          <w:p>
            <w:pPr>
              <w:spacing w:after="40" w:before="40"/>
            </w:pPr>
            <w:r/>
            <w:r>
              <w:rPr>
                <w:rFonts w:ascii="Times New Roman" w:hAnsi="Times New Roman" w:cs="Times New Roman"/>
                <w:b w:val="0"/>
                <w:i w:val="0"/>
                <w:sz w:val="22"/>
              </w:rPr>
              <w:t>Không quy định về nhân lực/thay thế nhân sự — dễ tranh chấp khi điều chuyển người.</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14. Bản quyền / sở hữu trí tuệ</w:t>
            </w:r>
          </w:p>
        </w:tc>
        <w:tc>
          <w:tcPr>
            <w:tcW w:type="dxa" w:w="5026"/>
          </w:tcPr>
          <w:p>
            <w:pPr>
              <w:spacing w:after="40" w:before="40"/>
            </w:pPr>
            <w:r/>
            <w:r>
              <w:rPr>
                <w:rFonts w:ascii="Times New Roman" w:hAnsi="Times New Roman" w:cs="Times New Roman"/>
                <w:b w:val="0"/>
                <w:i w:val="0"/>
                <w:sz w:val="22"/>
              </w:rPr>
              <w:t>Không có điều khoản bản quyền/SHTT — kiểm tra để bảo lưu know-how của TVGS.</w:t>
            </w:r>
          </w:p>
        </w:tc>
      </w:tr>
      <w:tr>
        <w:tc>
          <w:tcPr>
            <w:tcW w:type="dxa" w:w="800"/>
            <w:shd w:val="clear" w:color="auto" w:fill="E2EFDA"/>
          </w:tcPr>
          <w:p>
            <w:pPr>
              <w:spacing w:after="40" w:before="40"/>
            </w:pPr>
            <w:r/>
            <w:r>
              <w:rPr>
                <w:rFonts w:ascii="Times New Roman" w:hAnsi="Times New Roman" w:cs="Times New Roman"/>
                <w:b/>
                <w:i w:val="0"/>
                <w:color w:val="2E7D32"/>
                <w:sz w:val="20"/>
              </w:rPr>
              <w:t>Ổn / Có lợi</w:t>
            </w:r>
          </w:p>
        </w:tc>
        <w:tc>
          <w:tcPr>
            <w:tcW w:type="dxa" w:w="3200"/>
          </w:tcPr>
          <w:p>
            <w:pPr>
              <w:spacing w:after="40" w:before="40"/>
            </w:pPr>
            <w:r/>
            <w:r>
              <w:rPr>
                <w:rFonts w:ascii="Times New Roman" w:hAnsi="Times New Roman" w:cs="Times New Roman"/>
                <w:b w:val="0"/>
                <w:i w:val="0"/>
                <w:sz w:val="22"/>
              </w:rPr>
              <w:t>15. Bảo mật thông tin</w:t>
            </w:r>
          </w:p>
        </w:tc>
        <w:tc>
          <w:tcPr>
            <w:tcW w:type="dxa" w:w="5026"/>
          </w:tcPr>
          <w:p>
            <w:pPr>
              <w:spacing w:after="40" w:before="40"/>
            </w:pPr>
            <w:r/>
            <w:r>
              <w:rPr>
                <w:rFonts w:ascii="Times New Roman" w:hAnsi="Times New Roman" w:cs="Times New Roman"/>
                <w:b w:val="0"/>
                <w:i w:val="0"/>
                <w:sz w:val="22"/>
              </w:rPr>
              <w:t>Không có điều khoản bảo mật — thường không bất lợi cho TVGS, nhưng kiểm tra yêu cầu của dự án.</w:t>
            </w:r>
          </w:p>
        </w:tc>
      </w:tr>
      <w:tr>
        <w:tc>
          <w:tcPr>
            <w:tcW w:type="dxa" w:w="800"/>
            <w:shd w:val="clear" w:color="auto" w:fill="E2EFDA"/>
          </w:tcPr>
          <w:p>
            <w:pPr>
              <w:spacing w:after="40" w:before="40"/>
            </w:pPr>
            <w:r/>
            <w:r>
              <w:rPr>
                <w:rFonts w:ascii="Times New Roman" w:hAnsi="Times New Roman" w:cs="Times New Roman"/>
                <w:b/>
                <w:i w:val="0"/>
                <w:color w:val="2E7D32"/>
                <w:sz w:val="20"/>
              </w:rPr>
              <w:t>Ổn / Có lợi</w:t>
            </w:r>
          </w:p>
        </w:tc>
        <w:tc>
          <w:tcPr>
            <w:tcW w:type="dxa" w:w="3200"/>
          </w:tcPr>
          <w:p>
            <w:pPr>
              <w:spacing w:after="40" w:before="40"/>
            </w:pPr>
            <w:r/>
            <w:r>
              <w:rPr>
                <w:rFonts w:ascii="Times New Roman" w:hAnsi="Times New Roman" w:cs="Times New Roman"/>
                <w:b w:val="0"/>
                <w:i w:val="0"/>
                <w:sz w:val="22"/>
              </w:rPr>
              <w:t>17. Liêm chính / chống hối lộ</w:t>
            </w:r>
          </w:p>
        </w:tc>
        <w:tc>
          <w:tcPr>
            <w:tcW w:type="dxa" w:w="5026"/>
          </w:tcPr>
          <w:p>
            <w:pPr>
              <w:spacing w:after="40" w:before="40"/>
            </w:pPr>
            <w:r/>
            <w:r>
              <w:rPr>
                <w:rFonts w:ascii="Times New Roman" w:hAnsi="Times New Roman" w:cs="Times New Roman"/>
                <w:b w:val="0"/>
                <w:i w:val="0"/>
                <w:sz w:val="22"/>
              </w:rPr>
              <w:t>Không có điều khoản liêm chính — bình thường; nếu có phụ lục quy chế thì phải đọc kỹ.</w:t>
            </w:r>
          </w:p>
        </w:tc>
      </w:tr>
      <w:tr>
        <w:tc>
          <w:tcPr>
            <w:tcW w:type="dxa" w:w="800"/>
            <w:shd w:val="clear" w:color="auto" w:fill="FCE4D6"/>
          </w:tcPr>
          <w:p>
            <w:pPr>
              <w:spacing w:after="40" w:before="40"/>
            </w:pPr>
            <w:r/>
            <w:r>
              <w:rPr>
                <w:rFonts w:ascii="Times New Roman" w:hAnsi="Times New Roman" w:cs="Times New Roman"/>
                <w:b/>
                <w:i w:val="0"/>
                <w:color w:val="C45911"/>
                <w:sz w:val="20"/>
              </w:rPr>
              <w:t>Trung bình</w:t>
            </w:r>
          </w:p>
        </w:tc>
        <w:tc>
          <w:tcPr>
            <w:tcW w:type="dxa" w:w="3200"/>
          </w:tcPr>
          <w:p>
            <w:pPr>
              <w:spacing w:after="40" w:before="40"/>
            </w:pPr>
            <w:r/>
            <w:r>
              <w:rPr>
                <w:rFonts w:ascii="Times New Roman" w:hAnsi="Times New Roman" w:cs="Times New Roman"/>
                <w:b w:val="0"/>
                <w:i w:val="0"/>
                <w:sz w:val="22"/>
              </w:rPr>
              <w:t>19. Bất khả kháng</w:t>
            </w:r>
          </w:p>
        </w:tc>
        <w:tc>
          <w:tcPr>
            <w:tcW w:type="dxa" w:w="5026"/>
          </w:tcPr>
          <w:p>
            <w:pPr>
              <w:spacing w:after="40" w:before="40"/>
            </w:pPr>
            <w:r/>
            <w:r>
              <w:rPr>
                <w:rFonts w:ascii="Times New Roman" w:hAnsi="Times New Roman" w:cs="Times New Roman"/>
                <w:b w:val="0"/>
                <w:i w:val="0"/>
                <w:sz w:val="22"/>
              </w:rPr>
              <w:t>Không có điều khoản bất khả kháng — rủi ro khi xảy ra sự kiện ngoài tầm kiểm soát.</w:t>
            </w:r>
          </w:p>
        </w:tc>
      </w:tr>
      <w:tr>
        <w:tc>
          <w:tcPr>
            <w:tcW w:type="dxa" w:w="800"/>
            <w:shd w:val="clear" w:color="auto" w:fill="E2EFDA"/>
          </w:tcPr>
          <w:p>
            <w:pPr>
              <w:spacing w:after="40" w:before="40"/>
            </w:pPr>
            <w:r/>
            <w:r>
              <w:rPr>
                <w:rFonts w:ascii="Times New Roman" w:hAnsi="Times New Roman" w:cs="Times New Roman"/>
                <w:b/>
                <w:i w:val="0"/>
                <w:color w:val="2E7D32"/>
                <w:sz w:val="20"/>
              </w:rPr>
              <w:t>Ổn / Có lợi</w:t>
            </w:r>
          </w:p>
        </w:tc>
        <w:tc>
          <w:tcPr>
            <w:tcW w:type="dxa" w:w="3200"/>
          </w:tcPr>
          <w:p>
            <w:pPr>
              <w:spacing w:after="40" w:before="40"/>
            </w:pPr>
            <w:r/>
            <w:r>
              <w:rPr>
                <w:rFonts w:ascii="Times New Roman" w:hAnsi="Times New Roman" w:cs="Times New Roman"/>
                <w:b w:val="0"/>
                <w:i w:val="0"/>
                <w:sz w:val="22"/>
              </w:rPr>
              <w:t>20. Chuyển nhượng</w:t>
            </w:r>
          </w:p>
        </w:tc>
        <w:tc>
          <w:tcPr>
            <w:tcW w:type="dxa" w:w="5026"/>
          </w:tcPr>
          <w:p>
            <w:pPr>
              <w:spacing w:after="40" w:before="40"/>
            </w:pPr>
            <w:r/>
            <w:r>
              <w:rPr>
                <w:rFonts w:ascii="Times New Roman" w:hAnsi="Times New Roman" w:cs="Times New Roman"/>
                <w:b w:val="0"/>
                <w:i w:val="0"/>
                <w:sz w:val="22"/>
              </w:rPr>
              <w:t>Không có điều khoản chuyển nhượng — thường ổn; kiểm tra nếu CĐT là pháp nhân dự án (SPV).</w:t>
            </w:r>
          </w:p>
        </w:tc>
      </w:tr>
      <w:tr>
        <w:tc>
          <w:tcPr>
            <w:tcW w:type="dxa" w:w="800"/>
            <w:shd w:val="clear" w:color="auto" w:fill="F8CBAD"/>
          </w:tcPr>
          <w:p>
            <w:pPr>
              <w:spacing w:after="40" w:before="40"/>
            </w:pPr>
            <w:r/>
            <w:r>
              <w:rPr>
                <w:rFonts w:ascii="Times New Roman" w:hAnsi="Times New Roman" w:cs="Times New Roman"/>
                <w:b/>
                <w:i w:val="0"/>
                <w:color w:val="C00000"/>
                <w:sz w:val="20"/>
              </w:rPr>
              <w:t>Cao</w:t>
            </w:r>
          </w:p>
        </w:tc>
        <w:tc>
          <w:tcPr>
            <w:tcW w:type="dxa" w:w="3200"/>
          </w:tcPr>
          <w:p>
            <w:pPr>
              <w:spacing w:after="40" w:before="40"/>
            </w:pPr>
            <w:r/>
            <w:r>
              <w:rPr>
                <w:rFonts w:ascii="Times New Roman" w:hAnsi="Times New Roman" w:cs="Times New Roman"/>
                <w:b w:val="0"/>
                <w:i w:val="0"/>
                <w:sz w:val="22"/>
              </w:rPr>
              <w:t>21. Luật áp dụng, tranh chấp, ngôn ngữ</w:t>
            </w:r>
          </w:p>
        </w:tc>
        <w:tc>
          <w:tcPr>
            <w:tcW w:type="dxa" w:w="5026"/>
          </w:tcPr>
          <w:p>
            <w:pPr>
              <w:spacing w:after="40" w:before="40"/>
            </w:pPr>
            <w:r/>
            <w:r>
              <w:rPr>
                <w:rFonts w:ascii="Times New Roman" w:hAnsi="Times New Roman" w:cs="Times New Roman"/>
                <w:b w:val="0"/>
                <w:i w:val="0"/>
                <w:sz w:val="22"/>
              </w:rPr>
              <w:t>Không quy định luật áp dụng/giải quyết tranh chấp/ngôn ngữ — đặc biệt rủi ro với hợp đồng FDI/song ngữ.</w:t>
            </w:r>
          </w:p>
        </w:tc>
      </w:tr>
    </w:tbl>
    <w:p>
      <w:pPr>
        <w:spacing w:after="120" w:before="0"/>
      </w:pPr>
    </w:p>
    <w:p>
      <w:pPr>
        <w:spacing w:after="120" w:before="0"/>
      </w:pPr>
      <w:r>
        <w:rPr>
          <w:rFonts w:ascii="Times New Roman" w:hAnsi="Times New Roman" w:cs="Times New Roman"/>
          <w:b/>
          <w:i w:val="0"/>
          <w:color w:val="1F3764"/>
          <w:sz w:val="28"/>
        </w:rPr>
        <w:t>6. LƯU Ý SỬ DỤNG</w:t>
      </w:r>
    </w:p>
    <w:p>
      <w:pPr>
        <w:spacing w:after="80" w:before="0"/>
      </w:pPr>
      <w:r>
        <w:rPr>
          <w:rFonts w:ascii="Times New Roman" w:hAnsi="Times New Roman" w:cs="Times New Roman"/>
          <w:b w:val="0"/>
          <w:i w:val="0"/>
          <w:sz w:val="22"/>
        </w:rPr>
        <w:t>Báo cáo do công cụ tự động lập theo bộ tiêu chí rà soát hợp đồng TVGS của TEXO, không sử dụng AI. Công cụ phát hiện theo MẪU CÂU và TỪ KHÓA nên có thể bỏ sót cách diễn đạt lạ hoặc báo nhầm khi câu chữ trùng từ khóa. Hãy coi đây là bước sàng lọc đầu tiên; quyết định đàm phán/ký kết phải dựa trên rà soát của người có chuyên môn trên bản gốc.</w:t>
      </w:r>
    </w:p>
    <w:sectPr w:rsidR="00FC693F" w:rsidRPr="0006063C" w:rsidSect="00034616">
      <w:pgSz w:w="11906" w:h="16838"/>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