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cs="Times New Roman"/>
          <w:b/>
          <w:i w:val="0"/>
          <w:sz w:val="24"/>
        </w:rPr>
        <w:t>CÔNG TY CỔ PHẦN TEXO TƯ VẤN VÀ ĐẦU TƯ</w:t>
      </w:r>
    </w:p>
    <w:p>
      <w:pPr>
        <w:spacing w:after="40" w:before="0"/>
        <w:jc w:val="center"/>
      </w:pPr>
      <w:r>
        <w:rPr>
          <w:rFonts w:ascii="Times New Roman" w:hAnsi="Times New Roman" w:cs="Times New Roman"/>
          <w:b/>
          <w:i w:val="0"/>
          <w:color w:val="1F3764"/>
          <w:sz w:val="32"/>
        </w:rPr>
        <w:t>BÁO CÁO RÀ SOÁT PHÁP LÝ HỢP ĐỒNG</w:t>
      </w:r>
    </w:p>
    <w:p>
      <w:pPr>
        <w:spacing w:after="40" w:before="0"/>
        <w:jc w:val="center"/>
      </w:pPr>
      <w:r>
        <w:rPr>
          <w:rFonts w:ascii="Times New Roman" w:hAnsi="Times New Roman" w:cs="Times New Roman"/>
          <w:b w:val="0"/>
          <w:i/>
          <w:sz w:val="24"/>
        </w:rPr>
        <w:t>(Góc nhìn Nhà tư vấn giám sát — Bên B)</w:t>
      </w:r>
    </w:p>
    <w:p>
      <w:pPr>
        <w:spacing w:after="200" w:before="0"/>
        <w:jc w:val="center"/>
      </w:pPr>
      <w:r>
        <w:rPr>
          <w:rFonts w:ascii="Times New Roman" w:hAnsi="Times New Roman" w:cs="Times New Roman"/>
          <w:b w:val="0"/>
          <w:i/>
          <w:sz w:val="22"/>
        </w:rPr>
        <w:t>Ngày lập: 09/06/2026</w:t>
      </w:r>
    </w:p>
    <w:p>
      <w:pPr>
        <w:spacing w:after="120" w:before="0"/>
      </w:pPr>
      <w:r>
        <w:rPr>
          <w:rFonts w:ascii="Times New Roman" w:hAnsi="Times New Roman" w:cs="Times New Roman"/>
          <w:b/>
          <w:i w:val="0"/>
          <w:color w:val="1F3764"/>
          <w:sz w:val="28"/>
        </w:rPr>
        <w:t>1. THÔNG TIN CHUNG &amp; BỐI CẢNH</w:t>
      </w:r>
    </w:p>
    <w:p>
      <w:pPr>
        <w:spacing w:after="40" w:before="0"/>
      </w:pPr>
      <w:r>
        <w:rPr>
          <w:rFonts w:ascii="Times New Roman" w:hAnsi="Times New Roman" w:cs="Times New Roman"/>
          <w:b w:val="0"/>
          <w:i w:val="0"/>
          <w:sz w:val="26"/>
        </w:rPr>
        <w:t>• Tệp hợp đồng: sample_contract.docx</w:t>
      </w:r>
    </w:p>
    <w:p>
      <w:pPr>
        <w:spacing w:after="40" w:before="0"/>
      </w:pPr>
      <w:r>
        <w:rPr>
          <w:rFonts w:ascii="Times New Roman" w:hAnsi="Times New Roman" w:cs="Times New Roman"/>
          <w:b w:val="0"/>
          <w:i w:val="0"/>
          <w:sz w:val="26"/>
        </w:rPr>
        <w:t>• Quy mô: 29 đoạn, 11 đề mục, 0 ghi chú (comment).</w:t>
      </w:r>
    </w:p>
    <w:p>
      <w:pPr>
        <w:spacing w:after="40" w:before="0"/>
      </w:pPr>
      <w:r>
        <w:rPr>
          <w:rFonts w:ascii="Times New Roman" w:hAnsi="Times New Roman" w:cs="Times New Roman"/>
          <w:b w:val="0"/>
          <w:i w:val="0"/>
          <w:sz w:val="26"/>
        </w:rPr>
        <w:t>• Kiểu kết cấu: Dân luật VN — đánh số 'Điều N'.</w:t>
      </w:r>
    </w:p>
    <w:p>
      <w:pPr>
        <w:spacing w:after="40" w:before="0"/>
      </w:pPr>
      <w:r>
        <w:rPr>
          <w:rFonts w:ascii="Times New Roman" w:hAnsi="Times New Roman" w:cs="Times New Roman"/>
          <w:b w:val="0"/>
          <w:i w:val="0"/>
          <w:sz w:val="26"/>
        </w:rPr>
        <w:t>• Ngôn ngữ: vi, en (song ngữ).</w:t>
      </w:r>
    </w:p>
    <w:p>
      <w:pPr>
        <w:spacing w:after="40" w:before="0"/>
      </w:pPr>
      <w:r>
        <w:rPr>
          <w:rFonts w:ascii="Times New Roman" w:hAnsi="Times New Roman" w:cs="Times New Roman"/>
          <w:b w:val="0"/>
          <w:i w:val="0"/>
          <w:sz w:val="26"/>
        </w:rPr>
        <w:t>• Nguồn vốn: Vốn công / nhà nước / PPP (đoán).</w:t>
      </w:r>
    </w:p>
    <w:p>
      <w:pPr>
        <w:spacing w:after="40" w:before="0"/>
      </w:pPr>
      <w:r>
        <w:rPr>
          <w:rFonts w:ascii="Times New Roman" w:hAnsi="Times New Roman" w:cs="Times New Roman"/>
          <w:b w:val="0"/>
          <w:i w:val="0"/>
          <w:sz w:val="26"/>
        </w:rPr>
        <w:t>• Trần phạt áp dụng: 12% (Luật Xây dựng, Điều 146) — bắt buộc với vốn nhà nước.</w:t>
      </w:r>
    </w:p>
    <w:p>
      <w:pPr>
        <w:spacing w:after="160" w:before="0"/>
      </w:pPr>
      <w:r>
        <w:rPr>
          <w:rFonts w:ascii="Times New Roman" w:hAnsi="Times New Roman" w:cs="Times New Roman"/>
          <w:b w:val="0"/>
          <w:i w:val="0"/>
          <w:sz w:val="26"/>
        </w:rPr>
        <w:t>• Đối chiếu mẫu TT 02/2023/TT-BXD: Mẫu TT02 BẮT BUỘC áp dụng — viện dẫn để buộc tuân thủ.</w:t>
      </w:r>
    </w:p>
    <w:p>
      <w:pPr>
        <w:spacing w:after="120" w:before="0"/>
      </w:pPr>
      <w:r>
        <w:rPr>
          <w:rFonts w:ascii="Times New Roman" w:hAnsi="Times New Roman" w:cs="Times New Roman"/>
          <w:b/>
          <w:i w:val="0"/>
          <w:color w:val="1F3764"/>
          <w:sz w:val="28"/>
        </w:rPr>
        <w:t>2. TÓM TẮT ĐIỀU HÀNH</w:t>
      </w:r>
    </w:p>
    <w:p>
      <w:pPr>
        <w:spacing w:after="80" w:before="0"/>
      </w:pPr>
      <w:r>
        <w:rPr>
          <w:rFonts w:ascii="Times New Roman" w:hAnsi="Times New Roman" w:cs="Times New Roman"/>
          <w:b w:val="0"/>
          <w:i w:val="0"/>
          <w:sz w:val="26"/>
        </w:rPr>
        <w:t>Phát hiện 12 rủi ro mức CAO (đỏ), 8 rủi ro mức TRUNG BÌNH (cam), và 9 chủ đề chuẩn không thấy xuất hiện trong hợp đồng (trong đó 2 thuộc nhóm trọng yếu).</w:t>
      </w:r>
    </w:p>
    <w:p>
      <w:pPr>
        <w:spacing w:after="160" w:before="0"/>
      </w:pPr>
      <w:r>
        <w:rPr>
          <w:rFonts w:ascii="Times New Roman" w:hAnsi="Times New Roman" w:cs="Times New Roman"/>
          <w:b w:val="0"/>
          <w:i/>
          <w:sz w:val="22"/>
        </w:rPr>
        <w:t>Lưu ý: đây là kết quả rà soát SƠ BỘ bằng công cụ tự động (đối chiếu mẫu câu và độ phủ chủ đề), KHÔNG thay thế ý kiến luật sư. Mọi phát hiện cần người có chuyên môn kiểm chứng lại trên bản hợp đồng gốc trước khi đàm phán/ký.</w:t>
      </w:r>
    </w:p>
    <w:p>
      <w:pPr>
        <w:spacing w:after="120" w:before="0"/>
      </w:pPr>
      <w:r>
        <w:rPr>
          <w:rFonts w:ascii="Times New Roman" w:hAnsi="Times New Roman" w:cs="Times New Roman"/>
          <w:b/>
          <w:i w:val="0"/>
          <w:color w:val="1F3764"/>
          <w:sz w:val="28"/>
        </w:rPr>
        <w:t>3. BẢNG PHÂN TÍCH RỦI RO PHÁT HIỆN</w:t>
      </w:r>
    </w:p>
    <w:tbl>
      <w:tblPr>
        <w:tblStyle w:val="TableGrid"/>
        <w:tblW w:type="auto" w:w="0"/>
        <w:jc w:val="center"/>
        <w:tblLook w:firstColumn="1" w:firstRow="1" w:lastColumn="0" w:lastRow="0" w:noHBand="0" w:noVBand="1" w:val="04A0"/>
      </w:tblPr>
      <w:tblGrid>
        <w:gridCol w:w="3009"/>
        <w:gridCol w:w="3009"/>
        <w:gridCol w:w="3009"/>
      </w:tblGrid>
      <w:tr>
        <w:tc>
          <w:tcPr>
            <w:tcW w:type="dxa" w:w="1500"/>
            <w:shd w:val="clear" w:color="auto" w:fill="1F3764"/>
          </w:tcPr>
          <w:p>
            <w:pPr>
              <w:spacing w:after="40" w:before="40"/>
            </w:pPr>
            <w:r/>
            <w:r>
              <w:rPr>
                <w:rFonts w:ascii="Times New Roman" w:hAnsi="Times New Roman" w:cs="Times New Roman"/>
                <w:b/>
                <w:i w:val="0"/>
                <w:color w:val="FFFFFF"/>
                <w:sz w:val="22"/>
              </w:rPr>
              <w:t>Mức / Chủ đề</w:t>
            </w:r>
          </w:p>
        </w:tc>
        <w:tc>
          <w:tcPr>
            <w:tcW w:type="dxa" w:w="4400"/>
            <w:shd w:val="clear" w:color="auto" w:fill="1F3764"/>
          </w:tcPr>
          <w:p>
            <w:pPr>
              <w:spacing w:after="40" w:before="40"/>
            </w:pPr>
            <w:r/>
            <w:r>
              <w:rPr>
                <w:rFonts w:ascii="Times New Roman" w:hAnsi="Times New Roman" w:cs="Times New Roman"/>
                <w:b/>
                <w:i w:val="0"/>
                <w:color w:val="FFFFFF"/>
                <w:sz w:val="22"/>
              </w:rPr>
              <w:t>Vấn đề &amp; căn cứ</w:t>
            </w:r>
          </w:p>
        </w:tc>
        <w:tc>
          <w:tcPr>
            <w:tcW w:type="dxa" w:w="3126"/>
            <w:shd w:val="clear" w:color="auto" w:fill="1F3764"/>
          </w:tcPr>
          <w:p>
            <w:pPr>
              <w:spacing w:after="40" w:before="40"/>
            </w:pPr>
            <w:r/>
            <w:r>
              <w:rPr>
                <w:rFonts w:ascii="Times New Roman" w:hAnsi="Times New Roman" w:cs="Times New Roman"/>
                <w:b/>
                <w:i w:val="0"/>
                <w:color w:val="FFFFFF"/>
                <w:sz w:val="22"/>
              </w:rPr>
              <w:t>Đề xuất đàm phán</w:t>
            </w:r>
          </w:p>
        </w:tc>
      </w:tr>
      <w:tr>
        <w:tc>
          <w:tcPr>
            <w:tcW w:type="dxa" w:w="1500"/>
            <w:shd w:val="clear" w:color="auto" w:fill="F8CBAD"/>
          </w:tcPr>
          <w:p>
            <w:pPr>
              <w:spacing w:after="40" w:before="40"/>
            </w:pPr>
            <w:r/>
            <w:r>
              <w:rPr>
                <w:rFonts w:ascii="Times New Roman" w:hAnsi="Times New Roman" w:cs="Times New Roman"/>
                <w:b/>
                <w:i w:val="0"/>
                <w:color w:val="C00000"/>
                <w:sz w:val="22"/>
              </w:rPr>
              <w:t>[Cao]</w:t>
            </w:r>
          </w:p>
          <w:p>
            <w:pPr>
              <w:spacing w:after="40" w:before="0"/>
            </w:pPr>
            <w:r>
              <w:rPr>
                <w:rFonts w:ascii="Times New Roman" w:hAnsi="Times New Roman" w:cs="Times New Roman"/>
                <w:b/>
                <w:i w:val="0"/>
                <w:sz w:val="22"/>
              </w:rPr>
              <w:t xml:space="preserve">Chủ đề </w:t>
            </w:r>
            <w:r>
              <w:rPr>
                <w:rFonts w:ascii="Times New Roman" w:hAnsi="Times New Roman" w:cs="Times New Roman"/>
                <w:b w:val="0"/>
                <w:i w:val="0"/>
                <w:sz w:val="22"/>
              </w:rPr>
              <w:t>2</w:t>
            </w:r>
          </w:p>
          <w:p>
            <w:r>
              <w:rPr>
                <w:rFonts w:ascii="Times New Roman" w:hAnsi="Times New Roman" w:cs="Times New Roman"/>
                <w:b w:val="0"/>
                <w:i/>
                <w:sz w:val="20"/>
              </w:rPr>
              <w:t>CĐT giữ 'quyền giải thích cuối cùng'</w:t>
            </w:r>
          </w:p>
        </w:tc>
        <w:tc>
          <w:tcPr>
            <w:tcW w:type="dxa" w:w="4400"/>
          </w:tcPr>
          <w:p>
            <w:pPr>
              <w:spacing w:after="40" w:before="40"/>
            </w:pPr>
            <w:r/>
            <w:r>
              <w:rPr>
                <w:rFonts w:ascii="Times New Roman" w:hAnsi="Times New Roman" w:cs="Times New Roman"/>
                <w:b w:val="0"/>
                <w:i w:val="0"/>
                <w:sz w:val="22"/>
              </w:rPr>
              <w:t>Khi hồ sơ mâu thuẫn/không rõ, CĐT tự quyết nghĩa là vừa đá bóng vừa thổi còi, ép cách hiểu bất lợi cho TVGS.</w:t>
            </w:r>
          </w:p>
          <w:p>
            <w:pPr>
              <w:spacing w:after="40" w:before="0"/>
            </w:pPr>
            <w:r>
              <w:rPr>
                <w:rFonts w:ascii="Times New Roman" w:hAnsi="Times New Roman" w:cs="Times New Roman"/>
                <w:b/>
                <w:i w:val="0"/>
                <w:sz w:val="20"/>
              </w:rPr>
              <w:t xml:space="preserve">Trích: </w:t>
            </w:r>
            <w:r>
              <w:rPr>
                <w:rFonts w:ascii="Times New Roman" w:hAnsi="Times New Roman" w:cs="Times New Roman"/>
                <w:b w:val="0"/>
                <w:i w:val="0"/>
                <w:sz w:val="20"/>
              </w:rPr>
              <w:t>“Khi có mâu thuẫn, Chủ đầu tư có quyền giải thích cuối cùng đối với mọi điều khoản.”</w:t>
            </w:r>
          </w:p>
          <w:p>
            <w:pPr>
              <w:spacing w:after="40" w:before="0"/>
            </w:pPr>
            <w:r>
              <w:rPr>
                <w:rFonts w:ascii="Times New Roman" w:hAnsi="Times New Roman" w:cs="Times New Roman"/>
                <w:b/>
                <w:i w:val="0"/>
                <w:sz w:val="20"/>
              </w:rPr>
              <w:t xml:space="preserve">Căn cứ: </w:t>
            </w:r>
            <w:r>
              <w:rPr>
                <w:rFonts w:ascii="Times New Roman" w:hAnsi="Times New Roman" w:cs="Times New Roman"/>
                <w:b w:val="0"/>
                <w:i w:val="0"/>
                <w:sz w:val="20"/>
              </w:rPr>
              <w:t>Nguyên tắc bình đẳng trong hợp đồng (BLDS 2015, Điều 3); mẫu TT02 không trao quyền giải thích tuyệt đối cho một bên.</w:t>
            </w:r>
          </w:p>
        </w:tc>
        <w:tc>
          <w:tcPr>
            <w:tcW w:type="dxa" w:w="3126"/>
          </w:tcPr>
          <w:p>
            <w:pPr>
              <w:spacing w:after="40" w:before="40"/>
            </w:pPr>
            <w:r/>
            <w:r>
              <w:rPr>
                <w:rFonts w:ascii="Times New Roman" w:hAnsi="Times New Roman" w:cs="Times New Roman"/>
                <w:b w:val="0"/>
                <w:i w:val="0"/>
                <w:sz w:val="22"/>
              </w:rPr>
              <w:t>Bất đồng giải thích thì thương lượng; không thống nhất thì đưa ra trọng tài/tòa án. Bỏ 'quyền giải thích cuối cùng' của một bên.</w:t>
            </w:r>
          </w:p>
        </w:tc>
      </w:tr>
      <w:tr>
        <w:tc>
          <w:tcPr>
            <w:tcW w:type="dxa" w:w="1500"/>
            <w:shd w:val="clear" w:color="auto" w:fill="F8CBAD"/>
          </w:tcPr>
          <w:p>
            <w:pPr>
              <w:spacing w:after="40" w:before="40"/>
            </w:pPr>
            <w:r/>
            <w:r>
              <w:rPr>
                <w:rFonts w:ascii="Times New Roman" w:hAnsi="Times New Roman" w:cs="Times New Roman"/>
                <w:b/>
                <w:i w:val="0"/>
                <w:color w:val="C00000"/>
                <w:sz w:val="22"/>
              </w:rPr>
              <w:t>[Cao]</w:t>
            </w:r>
          </w:p>
          <w:p>
            <w:pPr>
              <w:spacing w:after="40" w:before="0"/>
            </w:pPr>
            <w:r>
              <w:rPr>
                <w:rFonts w:ascii="Times New Roman" w:hAnsi="Times New Roman" w:cs="Times New Roman"/>
                <w:b/>
                <w:i w:val="0"/>
                <w:sz w:val="22"/>
              </w:rPr>
              <w:t xml:space="preserve">Chủ đề </w:t>
            </w:r>
            <w:r>
              <w:rPr>
                <w:rFonts w:ascii="Times New Roman" w:hAnsi="Times New Roman" w:cs="Times New Roman"/>
                <w:b w:val="0"/>
                <w:i w:val="0"/>
                <w:sz w:val="22"/>
              </w:rPr>
              <w:t>3</w:t>
            </w:r>
          </w:p>
          <w:p>
            <w:r>
              <w:rPr>
                <w:rFonts w:ascii="Times New Roman" w:hAnsi="Times New Roman" w:cs="Times New Roman"/>
                <w:b w:val="0"/>
                <w:i/>
                <w:sz w:val="20"/>
              </w:rPr>
              <w:t>Gán TVGS 'thẩm tra / tối ưu hóa thiết kế'</w:t>
            </w:r>
          </w:p>
        </w:tc>
        <w:tc>
          <w:tcPr>
            <w:tcW w:type="dxa" w:w="4400"/>
          </w:tcPr>
          <w:p>
            <w:pPr>
              <w:spacing w:after="40" w:before="40"/>
            </w:pPr>
            <w:r/>
            <w:r>
              <w:rPr>
                <w:rFonts w:ascii="Times New Roman" w:hAnsi="Times New Roman" w:cs="Times New Roman"/>
                <w:b w:val="0"/>
                <w:i w:val="0"/>
                <w:sz w:val="22"/>
              </w:rPr>
              <w:t>Thẩm tra thiết kế là năng lực RIÊNG, không thuộc phạm vi giám sát thi công; gán cho TVGS làm phình trách nhiệm vượt năng lực/giấy phép.</w:t>
            </w:r>
          </w:p>
          <w:p>
            <w:pPr>
              <w:spacing w:after="40" w:before="0"/>
            </w:pPr>
            <w:r>
              <w:rPr>
                <w:rFonts w:ascii="Times New Roman" w:hAnsi="Times New Roman" w:cs="Times New Roman"/>
                <w:b/>
                <w:i w:val="0"/>
                <w:sz w:val="20"/>
              </w:rPr>
              <w:t xml:space="preserve">Trích: </w:t>
            </w:r>
            <w:r>
              <w:rPr>
                <w:rFonts w:ascii="Times New Roman" w:hAnsi="Times New Roman" w:cs="Times New Roman"/>
                <w:b w:val="0"/>
                <w:i w:val="0"/>
                <w:sz w:val="20"/>
              </w:rPr>
              <w:t>“Tư vấn giám sát có trách nhiệm thẩm tra thiết kế và phê duyệt biện pháp thi công của nhà thầu.”</w:t>
            </w:r>
          </w:p>
          <w:p>
            <w:pPr>
              <w:spacing w:after="40" w:before="0"/>
            </w:pPr>
            <w:r>
              <w:rPr>
                <w:rFonts w:ascii="Times New Roman" w:hAnsi="Times New Roman" w:cs="Times New Roman"/>
                <w:b/>
                <w:i w:val="0"/>
                <w:sz w:val="20"/>
              </w:rPr>
              <w:t xml:space="preserve">Căn cứ: </w:t>
            </w:r>
            <w:r>
              <w:rPr>
                <w:rFonts w:ascii="Times New Roman" w:hAnsi="Times New Roman" w:cs="Times New Roman"/>
                <w:b w:val="0"/>
                <w:i w:val="0"/>
                <w:sz w:val="20"/>
              </w:rPr>
              <w:t>Điều 104 NĐ 175/2024 (năng lực thẩm tra thiết kế) tách biệt với Điều 107 (giám sát); Điều 19 NĐ 06/2021 giới hạn phạm vi giám sát.</w:t>
            </w:r>
          </w:p>
        </w:tc>
        <w:tc>
          <w:tcPr>
            <w:tcW w:type="dxa" w:w="3126"/>
          </w:tcPr>
          <w:p>
            <w:pPr>
              <w:spacing w:after="40" w:before="40"/>
            </w:pPr>
            <w:r/>
            <w:r>
              <w:rPr>
                <w:rFonts w:ascii="Times New Roman" w:hAnsi="Times New Roman" w:cs="Times New Roman"/>
                <w:b w:val="0"/>
                <w:i w:val="0"/>
                <w:sz w:val="22"/>
              </w:rPr>
              <w:t>Sửa thành 'rà soát, phát hiện bất cập, báo cáo CĐT'; nếu cần thẩm tra phải tách hợp đồng/phụ lục và điều chỉnh phí.</w:t>
            </w:r>
          </w:p>
        </w:tc>
      </w:tr>
      <w:tr>
        <w:tc>
          <w:tcPr>
            <w:tcW w:type="dxa" w:w="1500"/>
            <w:shd w:val="clear" w:color="auto" w:fill="F8CBAD"/>
          </w:tcPr>
          <w:p>
            <w:pPr>
              <w:spacing w:after="40" w:before="40"/>
            </w:pPr>
            <w:r/>
            <w:r>
              <w:rPr>
                <w:rFonts w:ascii="Times New Roman" w:hAnsi="Times New Roman" w:cs="Times New Roman"/>
                <w:b/>
                <w:i w:val="0"/>
                <w:color w:val="C00000"/>
                <w:sz w:val="22"/>
              </w:rPr>
              <w:t>[Cao]</w:t>
            </w:r>
          </w:p>
          <w:p>
            <w:pPr>
              <w:spacing w:after="40" w:before="0"/>
            </w:pPr>
            <w:r>
              <w:rPr>
                <w:rFonts w:ascii="Times New Roman" w:hAnsi="Times New Roman" w:cs="Times New Roman"/>
                <w:b/>
                <w:i w:val="0"/>
                <w:sz w:val="22"/>
              </w:rPr>
              <w:t xml:space="preserve">Chủ đề </w:t>
            </w:r>
            <w:r>
              <w:rPr>
                <w:rFonts w:ascii="Times New Roman" w:hAnsi="Times New Roman" w:cs="Times New Roman"/>
                <w:b w:val="0"/>
                <w:i w:val="0"/>
                <w:sz w:val="22"/>
              </w:rPr>
              <w:t>3</w:t>
            </w:r>
          </w:p>
          <w:p>
            <w:r>
              <w:rPr>
                <w:rFonts w:ascii="Times New Roman" w:hAnsi="Times New Roman" w:cs="Times New Roman"/>
                <w:b w:val="0"/>
                <w:i/>
                <w:sz w:val="20"/>
              </w:rPr>
              <w:t>Gán TVGS 'phê duyệt' biện pháp/hồ sơ nhà thầu</w:t>
            </w:r>
          </w:p>
        </w:tc>
        <w:tc>
          <w:tcPr>
            <w:tcW w:type="dxa" w:w="4400"/>
          </w:tcPr>
          <w:p>
            <w:pPr>
              <w:spacing w:after="40" w:before="40"/>
            </w:pPr>
            <w:r/>
            <w:r>
              <w:rPr>
                <w:rFonts w:ascii="Times New Roman" w:hAnsi="Times New Roman" w:cs="Times New Roman"/>
                <w:b w:val="0"/>
                <w:i w:val="0"/>
                <w:sz w:val="22"/>
              </w:rPr>
              <w:t>Giám sát chỉ 'kiểm tra, có ý kiến chấp thuận'; phê duyệt biện pháp thi công là việc của CĐT. Gán phê duyệt = nhận trách nhiệm thay CĐT.</w:t>
            </w:r>
          </w:p>
          <w:p>
            <w:pPr>
              <w:spacing w:after="40" w:before="0"/>
            </w:pPr>
            <w:r>
              <w:rPr>
                <w:rFonts w:ascii="Times New Roman" w:hAnsi="Times New Roman" w:cs="Times New Roman"/>
                <w:b/>
                <w:i w:val="0"/>
                <w:sz w:val="20"/>
              </w:rPr>
              <w:t xml:space="preserve">Trích: </w:t>
            </w:r>
            <w:r>
              <w:rPr>
                <w:rFonts w:ascii="Times New Roman" w:hAnsi="Times New Roman" w:cs="Times New Roman"/>
                <w:b w:val="0"/>
                <w:i w:val="0"/>
                <w:sz w:val="20"/>
              </w:rPr>
              <w:t>“Tư vấn giám sát có trách nhiệm thẩm tra thiết kế và phê duyệt biện pháp thi công của nhà thầu.”</w:t>
            </w:r>
          </w:p>
          <w:p>
            <w:pPr>
              <w:spacing w:after="40" w:before="0"/>
            </w:pPr>
            <w:r>
              <w:rPr>
                <w:rFonts w:ascii="Times New Roman" w:hAnsi="Times New Roman" w:cs="Times New Roman"/>
                <w:b/>
                <w:i w:val="0"/>
                <w:sz w:val="20"/>
              </w:rPr>
              <w:t xml:space="preserve">Căn cứ: </w:t>
            </w:r>
            <w:r>
              <w:rPr>
                <w:rFonts w:ascii="Times New Roman" w:hAnsi="Times New Roman" w:cs="Times New Roman"/>
                <w:b w:val="0"/>
                <w:i w:val="0"/>
                <w:sz w:val="20"/>
              </w:rPr>
              <w:t>Điều 19.1.b/c NĐ 06/2021: TVGS kiểm tra và chấp thuận; biện pháp do nhà thầu lập, CĐT phê duyệt.</w:t>
            </w:r>
          </w:p>
        </w:tc>
        <w:tc>
          <w:tcPr>
            <w:tcW w:type="dxa" w:w="3126"/>
          </w:tcPr>
          <w:p>
            <w:pPr>
              <w:spacing w:after="40" w:before="40"/>
            </w:pPr>
            <w:r/>
            <w:r>
              <w:rPr>
                <w:rFonts w:ascii="Times New Roman" w:hAnsi="Times New Roman" w:cs="Times New Roman"/>
                <w:b w:val="0"/>
                <w:i w:val="0"/>
                <w:sz w:val="22"/>
              </w:rPr>
              <w:t>Sửa thành 'kiểm tra, xem xét và có ý kiến/chấp thuận'; quyền phê duyệt thuộc CĐT.</w:t>
            </w:r>
          </w:p>
        </w:tc>
      </w:tr>
      <w:tr>
        <w:tc>
          <w:tcPr>
            <w:tcW w:type="dxa" w:w="1500"/>
            <w:shd w:val="clear" w:color="auto" w:fill="F8CBAD"/>
          </w:tcPr>
          <w:p>
            <w:pPr>
              <w:spacing w:after="40" w:before="40"/>
            </w:pPr>
            <w:r/>
            <w:r>
              <w:rPr>
                <w:rFonts w:ascii="Times New Roman" w:hAnsi="Times New Roman" w:cs="Times New Roman"/>
                <w:b/>
                <w:i w:val="0"/>
                <w:color w:val="C00000"/>
                <w:sz w:val="22"/>
              </w:rPr>
              <w:t>[Cao]</w:t>
            </w:r>
          </w:p>
          <w:p>
            <w:pPr>
              <w:spacing w:after="40" w:before="0"/>
            </w:pPr>
            <w:r>
              <w:rPr>
                <w:rFonts w:ascii="Times New Roman" w:hAnsi="Times New Roman" w:cs="Times New Roman"/>
                <w:b/>
                <w:i w:val="0"/>
                <w:sz w:val="22"/>
              </w:rPr>
              <w:t xml:space="preserve">Chủ đề </w:t>
            </w:r>
            <w:r>
              <w:rPr>
                <w:rFonts w:ascii="Times New Roman" w:hAnsi="Times New Roman" w:cs="Times New Roman"/>
                <w:b w:val="0"/>
                <w:i w:val="0"/>
                <w:sz w:val="22"/>
              </w:rPr>
              <w:t>8</w:t>
            </w:r>
          </w:p>
          <w:p>
            <w:r>
              <w:rPr>
                <w:rFonts w:ascii="Times New Roman" w:hAnsi="Times New Roman" w:cs="Times New Roman"/>
                <w:b w:val="0"/>
                <w:i/>
                <w:sz w:val="20"/>
              </w:rPr>
              <w:t>Thiếu hồ sơ thì CĐT 'từ chối thanh toán'</w:t>
            </w:r>
          </w:p>
        </w:tc>
        <w:tc>
          <w:tcPr>
            <w:tcW w:type="dxa" w:w="4400"/>
          </w:tcPr>
          <w:p>
            <w:pPr>
              <w:spacing w:after="40" w:before="40"/>
            </w:pPr>
            <w:r/>
            <w:r>
              <w:rPr>
                <w:rFonts w:ascii="Times New Roman" w:hAnsi="Times New Roman" w:cs="Times New Roman"/>
                <w:b w:val="0"/>
                <w:i w:val="0"/>
                <w:sz w:val="22"/>
              </w:rPr>
              <w:t>Cho CĐT quyền từ chối (mất quyền) thanh toán cả khoản chỉ vì thiếu một phần hồ sơ — giam tiền của TVGS.</w:t>
            </w:r>
          </w:p>
          <w:p>
            <w:pPr>
              <w:spacing w:after="40" w:before="0"/>
            </w:pPr>
            <w:r>
              <w:rPr>
                <w:rFonts w:ascii="Times New Roman" w:hAnsi="Times New Roman" w:cs="Times New Roman"/>
                <w:b/>
                <w:i w:val="0"/>
                <w:sz w:val="20"/>
              </w:rPr>
              <w:t xml:space="preserve">Trích: </w:t>
            </w:r>
            <w:r>
              <w:rPr>
                <w:rFonts w:ascii="Times New Roman" w:hAnsi="Times New Roman" w:cs="Times New Roman"/>
                <w:b w:val="0"/>
                <w:i w:val="0"/>
                <w:sz w:val="20"/>
              </w:rPr>
              <w:t>“Nếu thiếu bất kỳ hồ sơ nào, Chủ đầu tư có quyền từ chối thanh toán toàn bộ đợt.”</w:t>
            </w:r>
          </w:p>
          <w:p>
            <w:pPr>
              <w:spacing w:after="40" w:before="0"/>
            </w:pPr>
            <w:r>
              <w:rPr>
                <w:rFonts w:ascii="Times New Roman" w:hAnsi="Times New Roman" w:cs="Times New Roman"/>
                <w:b/>
                <w:i w:val="0"/>
                <w:sz w:val="20"/>
              </w:rPr>
              <w:t xml:space="preserve">Căn cứ: </w:t>
            </w:r>
            <w:r>
              <w:rPr>
                <w:rFonts w:ascii="Times New Roman" w:hAnsi="Times New Roman" w:cs="Times New Roman"/>
                <w:b w:val="0"/>
                <w:i w:val="0"/>
                <w:sz w:val="20"/>
              </w:rPr>
              <w:t>Mẫu TT02: chỉ tạm hoãn phần liên quan; phần còn lại trả đúng hạn. BLDS nguyên tắc thiện chí.</w:t>
            </w:r>
          </w:p>
        </w:tc>
        <w:tc>
          <w:tcPr>
            <w:tcW w:type="dxa" w:w="3126"/>
          </w:tcPr>
          <w:p>
            <w:pPr>
              <w:spacing w:after="40" w:before="40"/>
            </w:pPr>
            <w:r/>
            <w:r>
              <w:rPr>
                <w:rFonts w:ascii="Times New Roman" w:hAnsi="Times New Roman" w:cs="Times New Roman"/>
                <w:b w:val="0"/>
                <w:i w:val="0"/>
                <w:sz w:val="22"/>
              </w:rPr>
              <w:t>Sửa 'từ chối' → 'tạm hoãn phần liên quan đến khi bổ sung'; phần không tranh chấp vẫn trả đúng hạn.</w:t>
            </w:r>
          </w:p>
        </w:tc>
      </w:tr>
      <w:tr>
        <w:tc>
          <w:tcPr>
            <w:tcW w:type="dxa" w:w="1500"/>
            <w:shd w:val="clear" w:color="auto" w:fill="F8CBAD"/>
          </w:tcPr>
          <w:p>
            <w:pPr>
              <w:spacing w:after="40" w:before="40"/>
            </w:pPr>
            <w:r/>
            <w:r>
              <w:rPr>
                <w:rFonts w:ascii="Times New Roman" w:hAnsi="Times New Roman" w:cs="Times New Roman"/>
                <w:b/>
                <w:i w:val="0"/>
                <w:color w:val="C00000"/>
                <w:sz w:val="22"/>
              </w:rPr>
              <w:t>[Cao]</w:t>
            </w:r>
          </w:p>
          <w:p>
            <w:pPr>
              <w:spacing w:after="40" w:before="0"/>
            </w:pPr>
            <w:r>
              <w:rPr>
                <w:rFonts w:ascii="Times New Roman" w:hAnsi="Times New Roman" w:cs="Times New Roman"/>
                <w:b/>
                <w:i w:val="0"/>
                <w:sz w:val="22"/>
              </w:rPr>
              <w:t xml:space="preserve">Chủ đề </w:t>
            </w:r>
            <w:r>
              <w:rPr>
                <w:rFonts w:ascii="Times New Roman" w:hAnsi="Times New Roman" w:cs="Times New Roman"/>
                <w:b w:val="0"/>
                <w:i w:val="0"/>
                <w:sz w:val="22"/>
              </w:rPr>
              <w:t>14</w:t>
            </w:r>
          </w:p>
          <w:p>
            <w:r>
              <w:rPr>
                <w:rFonts w:ascii="Times New Roman" w:hAnsi="Times New Roman" w:cs="Times New Roman"/>
                <w:b w:val="0"/>
                <w:i/>
                <w:sz w:val="20"/>
              </w:rPr>
              <w:t>Toàn bộ bản quyền 'assigned to the Employer'</w:t>
            </w:r>
          </w:p>
        </w:tc>
        <w:tc>
          <w:tcPr>
            <w:tcW w:type="dxa" w:w="4400"/>
          </w:tcPr>
          <w:p>
            <w:pPr>
              <w:spacing w:after="40" w:before="40"/>
            </w:pPr>
            <w:r/>
            <w:r>
              <w:rPr>
                <w:rFonts w:ascii="Times New Roman" w:hAnsi="Times New Roman" w:cs="Times New Roman"/>
                <w:b w:val="0"/>
                <w:i w:val="0"/>
                <w:sz w:val="22"/>
              </w:rPr>
              <w:t>Chuyển QUYỀN SỞ HỮU (không chỉ quyền sử dụng) tài liệu cho CĐT, kèm bảo đảm/indemnity về SHTT — mất know-how riêng.</w:t>
            </w:r>
          </w:p>
          <w:p>
            <w:pPr>
              <w:spacing w:after="40" w:before="0"/>
            </w:pPr>
            <w:r>
              <w:rPr>
                <w:rFonts w:ascii="Times New Roman" w:hAnsi="Times New Roman" w:cs="Times New Roman"/>
                <w:b/>
                <w:i w:val="0"/>
                <w:sz w:val="20"/>
              </w:rPr>
              <w:t xml:space="preserve">Trích: </w:t>
            </w:r>
            <w:r>
              <w:rPr>
                <w:rFonts w:ascii="Times New Roman" w:hAnsi="Times New Roman" w:cs="Times New Roman"/>
                <w:b w:val="0"/>
                <w:i w:val="0"/>
                <w:sz w:val="20"/>
              </w:rPr>
              <w:t>“The English version shall prevail. All copyright shall be assigned to the Employer.”</w:t>
            </w:r>
          </w:p>
          <w:p>
            <w:pPr>
              <w:spacing w:after="40" w:before="0"/>
            </w:pPr>
            <w:r>
              <w:rPr>
                <w:rFonts w:ascii="Times New Roman" w:hAnsi="Times New Roman" w:cs="Times New Roman"/>
                <w:b/>
                <w:i w:val="0"/>
                <w:sz w:val="20"/>
              </w:rPr>
              <w:t xml:space="preserve">Căn cứ: </w:t>
            </w:r>
            <w:r>
              <w:rPr>
                <w:rFonts w:ascii="Times New Roman" w:hAnsi="Times New Roman" w:cs="Times New Roman"/>
                <w:b w:val="0"/>
                <w:i w:val="0"/>
                <w:sz w:val="20"/>
              </w:rPr>
              <w:t>Luật SHTT; thông lệ tư vấn giữ quyền sở hữu, chỉ cấp quyền sử dụng cho dự án.</w:t>
            </w:r>
          </w:p>
        </w:tc>
        <w:tc>
          <w:tcPr>
            <w:tcW w:type="dxa" w:w="3126"/>
          </w:tcPr>
          <w:p>
            <w:pPr>
              <w:spacing w:after="40" w:before="40"/>
            </w:pPr>
            <w:r/>
            <w:r>
              <w:rPr>
                <w:rFonts w:ascii="Times New Roman" w:hAnsi="Times New Roman" w:cs="Times New Roman"/>
                <w:b w:val="0"/>
                <w:i w:val="0"/>
                <w:sz w:val="22"/>
              </w:rPr>
              <w:t>Giữ quyền sở hữu, chỉ cấp quyền sử dụng cho dự án; gắn quyền sử dụng với điều kiện đã thanh toán; giới hạn indemnity SHTT theo phần lỗi.</w:t>
            </w:r>
          </w:p>
        </w:tc>
      </w:tr>
      <w:tr>
        <w:tc>
          <w:tcPr>
            <w:tcW w:type="dxa" w:w="1500"/>
            <w:shd w:val="clear" w:color="auto" w:fill="F8CBAD"/>
          </w:tcPr>
          <w:p>
            <w:pPr>
              <w:spacing w:after="40" w:before="40"/>
            </w:pPr>
            <w:r/>
            <w:r>
              <w:rPr>
                <w:rFonts w:ascii="Times New Roman" w:hAnsi="Times New Roman" w:cs="Times New Roman"/>
                <w:b/>
                <w:i w:val="0"/>
                <w:color w:val="C00000"/>
                <w:sz w:val="22"/>
              </w:rPr>
              <w:t>[Cao]</w:t>
            </w:r>
          </w:p>
          <w:p>
            <w:pPr>
              <w:spacing w:after="40" w:before="0"/>
            </w:pPr>
            <w:r>
              <w:rPr>
                <w:rFonts w:ascii="Times New Roman" w:hAnsi="Times New Roman" w:cs="Times New Roman"/>
                <w:b/>
                <w:i w:val="0"/>
                <w:sz w:val="22"/>
              </w:rPr>
              <w:t xml:space="preserve">Chủ đề </w:t>
            </w:r>
            <w:r>
              <w:rPr>
                <w:rFonts w:ascii="Times New Roman" w:hAnsi="Times New Roman" w:cs="Times New Roman"/>
                <w:b w:val="0"/>
                <w:i w:val="0"/>
                <w:sz w:val="22"/>
              </w:rPr>
              <w:t>16</w:t>
            </w:r>
          </w:p>
          <w:p>
            <w:r>
              <w:rPr>
                <w:rFonts w:ascii="Times New Roman" w:hAnsi="Times New Roman" w:cs="Times New Roman"/>
                <w:b w:val="0"/>
                <w:i/>
                <w:sz w:val="20"/>
              </w:rPr>
              <w:t>Phạt % tính trên TỔNG giá trị hợp đồng</w:t>
            </w:r>
          </w:p>
        </w:tc>
        <w:tc>
          <w:tcPr>
            <w:tcW w:type="dxa" w:w="4400"/>
          </w:tcPr>
          <w:p>
            <w:pPr>
              <w:spacing w:after="40" w:before="40"/>
            </w:pPr>
            <w:r/>
            <w:r>
              <w:rPr>
                <w:rFonts w:ascii="Times New Roman" w:hAnsi="Times New Roman" w:cs="Times New Roman"/>
                <w:b w:val="0"/>
                <w:i w:val="0"/>
                <w:sz w:val="22"/>
              </w:rPr>
              <w:t>Phạt phải tính trên phần nghĩa vụ bị vi phạm, không phải tổng HĐ. Tính trên tổng HĐ làm mức phạt phình to bất hợp lý.</w:t>
            </w:r>
          </w:p>
          <w:p>
            <w:pPr>
              <w:spacing w:after="40" w:before="0"/>
            </w:pPr>
            <w:r>
              <w:rPr>
                <w:rFonts w:ascii="Times New Roman" w:hAnsi="Times New Roman" w:cs="Times New Roman"/>
                <w:b/>
                <w:i w:val="0"/>
                <w:sz w:val="20"/>
              </w:rPr>
              <w:t xml:space="preserve">Trích: </w:t>
            </w:r>
            <w:r>
              <w:rPr>
                <w:rFonts w:ascii="Times New Roman" w:hAnsi="Times New Roman" w:cs="Times New Roman"/>
                <w:b w:val="0"/>
                <w:i w:val="0"/>
                <w:sz w:val="20"/>
              </w:rPr>
              <w:t>“Bên B chịu phạt 12% tổng giá trị hợp đồng cho bất kỳ vi phạm nào.”</w:t>
            </w:r>
          </w:p>
          <w:p>
            <w:pPr>
              <w:spacing w:after="40" w:before="0"/>
            </w:pPr>
            <w:r>
              <w:rPr>
                <w:rFonts w:ascii="Times New Roman" w:hAnsi="Times New Roman" w:cs="Times New Roman"/>
                <w:b/>
                <w:i w:val="0"/>
                <w:sz w:val="20"/>
              </w:rPr>
              <w:t xml:space="preserve">Căn cứ: </w:t>
            </w:r>
            <w:r>
              <w:rPr>
                <w:rFonts w:ascii="Times New Roman" w:hAnsi="Times New Roman" w:cs="Times New Roman"/>
                <w:b w:val="0"/>
                <w:i w:val="0"/>
                <w:sz w:val="20"/>
              </w:rPr>
              <w:t>Điều 146 Luật Xây dựng / Điều 301 Luật Thương mại: phạt trên giá trị phần nghĩa vụ bị vi phạm; trần 8% (Luật TM, ngoài vốn NN) / 12% (Luật XD, vốn NN).</w:t>
            </w:r>
          </w:p>
        </w:tc>
        <w:tc>
          <w:tcPr>
            <w:tcW w:type="dxa" w:w="3126"/>
          </w:tcPr>
          <w:p>
            <w:pPr>
              <w:spacing w:after="40" w:before="40"/>
            </w:pPr>
            <w:r/>
            <w:r>
              <w:rPr>
                <w:rFonts w:ascii="Times New Roman" w:hAnsi="Times New Roman" w:cs="Times New Roman"/>
                <w:b w:val="0"/>
                <w:i w:val="0"/>
                <w:sz w:val="22"/>
              </w:rPr>
              <w:t>Sửa: phạt tính trên 'giá trị phần nghĩa vụ bị vi phạm'; ấn định trần tổng phạt ≤ 8% (hoặc 12%).</w:t>
            </w:r>
          </w:p>
        </w:tc>
      </w:tr>
      <w:tr>
        <w:tc>
          <w:tcPr>
            <w:tcW w:type="dxa" w:w="1500"/>
            <w:shd w:val="clear" w:color="auto" w:fill="F8CBAD"/>
          </w:tcPr>
          <w:p>
            <w:pPr>
              <w:spacing w:after="40" w:before="40"/>
            </w:pPr>
            <w:r/>
            <w:r>
              <w:rPr>
                <w:rFonts w:ascii="Times New Roman" w:hAnsi="Times New Roman" w:cs="Times New Roman"/>
                <w:b/>
                <w:i w:val="0"/>
                <w:color w:val="C00000"/>
                <w:sz w:val="22"/>
              </w:rPr>
              <w:t>[Cao]</w:t>
            </w:r>
          </w:p>
          <w:p>
            <w:pPr>
              <w:spacing w:after="40" w:before="0"/>
            </w:pPr>
            <w:r>
              <w:rPr>
                <w:rFonts w:ascii="Times New Roman" w:hAnsi="Times New Roman" w:cs="Times New Roman"/>
                <w:b/>
                <w:i w:val="0"/>
                <w:sz w:val="22"/>
              </w:rPr>
              <w:t xml:space="preserve">Chủ đề </w:t>
            </w:r>
            <w:r>
              <w:rPr>
                <w:rFonts w:ascii="Times New Roman" w:hAnsi="Times New Roman" w:cs="Times New Roman"/>
                <w:b w:val="0"/>
                <w:i w:val="0"/>
                <w:sz w:val="22"/>
              </w:rPr>
              <w:t>16</w:t>
            </w:r>
          </w:p>
          <w:p>
            <w:r>
              <w:rPr>
                <w:rFonts w:ascii="Times New Roman" w:hAnsi="Times New Roman" w:cs="Times New Roman"/>
                <w:b w:val="0"/>
                <w:i/>
                <w:sz w:val="20"/>
              </w:rPr>
              <w:t>Bồi thường 'toàn bộ thiệt hại' không có trần</w:t>
            </w:r>
          </w:p>
        </w:tc>
        <w:tc>
          <w:tcPr>
            <w:tcW w:type="dxa" w:w="4400"/>
          </w:tcPr>
          <w:p>
            <w:pPr>
              <w:spacing w:after="40" w:before="40"/>
            </w:pPr>
            <w:r/>
            <w:r>
              <w:rPr>
                <w:rFonts w:ascii="Times New Roman" w:hAnsi="Times New Roman" w:cs="Times New Roman"/>
                <w:b w:val="0"/>
                <w:i w:val="0"/>
                <w:sz w:val="22"/>
              </w:rPr>
              <w:t>Bồi thường 'toàn bộ thiệt hại trực tiếp VÀ gián tiếp' không trần = trách nhiệm vô hạn. Trần phạt thường KHÔNG tự động áp cho bồi thường.</w:t>
            </w:r>
          </w:p>
          <w:p>
            <w:pPr>
              <w:spacing w:after="40" w:before="0"/>
            </w:pPr>
            <w:r>
              <w:rPr>
                <w:rFonts w:ascii="Times New Roman" w:hAnsi="Times New Roman" w:cs="Times New Roman"/>
                <w:b/>
                <w:i w:val="0"/>
                <w:sz w:val="20"/>
              </w:rPr>
              <w:t xml:space="preserve">Trích: </w:t>
            </w:r>
            <w:r>
              <w:rPr>
                <w:rFonts w:ascii="Times New Roman" w:hAnsi="Times New Roman" w:cs="Times New Roman"/>
                <w:b w:val="0"/>
                <w:i w:val="0"/>
                <w:sz w:val="20"/>
              </w:rPr>
              <w:t>“Bên B phải bồi thường toàn bộ thiệt hại trực tiếp và gián tiếp, bao gồm thiệt hại uy tín, thương hiệu.”</w:t>
            </w:r>
          </w:p>
          <w:p>
            <w:pPr>
              <w:spacing w:after="40" w:before="0"/>
            </w:pPr>
            <w:r>
              <w:rPr>
                <w:rFonts w:ascii="Times New Roman" w:hAnsi="Times New Roman" w:cs="Times New Roman"/>
                <w:b/>
                <w:i w:val="0"/>
                <w:sz w:val="20"/>
              </w:rPr>
              <w:t xml:space="preserve">Căn cứ: </w:t>
            </w:r>
            <w:r>
              <w:rPr>
                <w:rFonts w:ascii="Times New Roman" w:hAnsi="Times New Roman" w:cs="Times New Roman"/>
                <w:b w:val="0"/>
                <w:i w:val="0"/>
                <w:sz w:val="20"/>
              </w:rPr>
              <w:t>BLDS 2015 Điều 360, 419; thông lệ tư vấn quốc tế có liability cap. Mẫu TT02 cân bằng trách nhiệm.</w:t>
            </w:r>
          </w:p>
        </w:tc>
        <w:tc>
          <w:tcPr>
            <w:tcW w:type="dxa" w:w="3126"/>
          </w:tcPr>
          <w:p>
            <w:pPr>
              <w:spacing w:after="40" w:before="40"/>
            </w:pPr>
            <w:r/>
            <w:r>
              <w:rPr>
                <w:rFonts w:ascii="Times New Roman" w:hAnsi="Times New Roman" w:cs="Times New Roman"/>
                <w:b w:val="0"/>
                <w:i w:val="0"/>
                <w:sz w:val="22"/>
              </w:rPr>
              <w:t>Thêm trần TỔNG trách nhiệm (gồm bồi thường, tối đa = giá trị HĐ); loại trừ thiệt hại gián tiếp/mất lợi nhuận; gắn với mức bảo hiểm.</w:t>
            </w:r>
          </w:p>
        </w:tc>
      </w:tr>
      <w:tr>
        <w:tc>
          <w:tcPr>
            <w:tcW w:type="dxa" w:w="1500"/>
            <w:shd w:val="clear" w:color="auto" w:fill="F8CBAD"/>
          </w:tcPr>
          <w:p>
            <w:pPr>
              <w:spacing w:after="40" w:before="40"/>
            </w:pPr>
            <w:r/>
            <w:r>
              <w:rPr>
                <w:rFonts w:ascii="Times New Roman" w:hAnsi="Times New Roman" w:cs="Times New Roman"/>
                <w:b/>
                <w:i w:val="0"/>
                <w:color w:val="C00000"/>
                <w:sz w:val="22"/>
              </w:rPr>
              <w:t>[Cao]</w:t>
            </w:r>
          </w:p>
          <w:p>
            <w:pPr>
              <w:spacing w:after="40" w:before="0"/>
            </w:pPr>
            <w:r>
              <w:rPr>
                <w:rFonts w:ascii="Times New Roman" w:hAnsi="Times New Roman" w:cs="Times New Roman"/>
                <w:b/>
                <w:i w:val="0"/>
                <w:sz w:val="22"/>
              </w:rPr>
              <w:t xml:space="preserve">Chủ đề </w:t>
            </w:r>
            <w:r>
              <w:rPr>
                <w:rFonts w:ascii="Times New Roman" w:hAnsi="Times New Roman" w:cs="Times New Roman"/>
                <w:b w:val="0"/>
                <w:i w:val="0"/>
                <w:sz w:val="22"/>
              </w:rPr>
              <w:t>16</w:t>
            </w:r>
          </w:p>
          <w:p>
            <w:r>
              <w:rPr>
                <w:rFonts w:ascii="Times New Roman" w:hAnsi="Times New Roman" w:cs="Times New Roman"/>
                <w:b w:val="0"/>
                <w:i/>
                <w:sz w:val="20"/>
              </w:rPr>
              <w:t>Buộc 'hoàn trả toàn bộ tiền đã thanh toán'</w:t>
            </w:r>
          </w:p>
        </w:tc>
        <w:tc>
          <w:tcPr>
            <w:tcW w:type="dxa" w:w="4400"/>
          </w:tcPr>
          <w:p>
            <w:pPr>
              <w:spacing w:after="40" w:before="40"/>
            </w:pPr>
            <w:r/>
            <w:r>
              <w:rPr>
                <w:rFonts w:ascii="Times New Roman" w:hAnsi="Times New Roman" w:cs="Times New Roman"/>
                <w:b w:val="0"/>
                <w:i w:val="0"/>
                <w:sz w:val="22"/>
              </w:rPr>
              <w:t>Khi chấm dứt do lỗi/sự cố, buộc hoàn trả toàn bộ tiền đã nhận là phạt chồng phạt, phủ nhận phần dịch vụ đã thực hiện.</w:t>
            </w:r>
          </w:p>
          <w:p>
            <w:pPr>
              <w:spacing w:after="40" w:before="0"/>
            </w:pPr>
            <w:r>
              <w:rPr>
                <w:rFonts w:ascii="Times New Roman" w:hAnsi="Times New Roman" w:cs="Times New Roman"/>
                <w:b/>
                <w:i w:val="0"/>
                <w:sz w:val="20"/>
              </w:rPr>
              <w:t xml:space="preserve">Trích: </w:t>
            </w:r>
            <w:r>
              <w:rPr>
                <w:rFonts w:ascii="Times New Roman" w:hAnsi="Times New Roman" w:cs="Times New Roman"/>
                <w:b w:val="0"/>
                <w:i w:val="0"/>
                <w:sz w:val="20"/>
              </w:rPr>
              <w:t>“Khi chấm dứt, Bên B phải hoàn trả toàn bộ số tiền đã thanh toán.”</w:t>
            </w:r>
          </w:p>
          <w:p>
            <w:pPr>
              <w:spacing w:after="40" w:before="0"/>
            </w:pPr>
            <w:r>
              <w:rPr>
                <w:rFonts w:ascii="Times New Roman" w:hAnsi="Times New Roman" w:cs="Times New Roman"/>
                <w:b/>
                <w:i w:val="0"/>
                <w:sz w:val="20"/>
              </w:rPr>
              <w:t xml:space="preserve">Căn cứ: </w:t>
            </w:r>
            <w:r>
              <w:rPr>
                <w:rFonts w:ascii="Times New Roman" w:hAnsi="Times New Roman" w:cs="Times New Roman"/>
                <w:b w:val="0"/>
                <w:i w:val="0"/>
                <w:sz w:val="20"/>
              </w:rPr>
              <w:t>BLDS 2015: chỉ hoàn phần chưa thực hiện; thiệt hại phải có chứng minh. Phạt vượt trần có thể vô hiệu.</w:t>
            </w:r>
          </w:p>
        </w:tc>
        <w:tc>
          <w:tcPr>
            <w:tcW w:type="dxa" w:w="3126"/>
          </w:tcPr>
          <w:p>
            <w:pPr>
              <w:spacing w:after="40" w:before="40"/>
            </w:pPr>
            <w:r/>
            <w:r>
              <w:rPr>
                <w:rFonts w:ascii="Times New Roman" w:hAnsi="Times New Roman" w:cs="Times New Roman"/>
                <w:b w:val="0"/>
                <w:i w:val="0"/>
                <w:sz w:val="22"/>
              </w:rPr>
              <w:t>Bỏ điều khoản hoàn trả toàn bộ; chỉ hoàn phần chưa thực hiện và bồi thường tương ứng phần lỗi có chứng minh.</w:t>
            </w:r>
          </w:p>
        </w:tc>
      </w:tr>
      <w:tr>
        <w:tc>
          <w:tcPr>
            <w:tcW w:type="dxa" w:w="1500"/>
            <w:shd w:val="clear" w:color="auto" w:fill="F8CBAD"/>
          </w:tcPr>
          <w:p>
            <w:pPr>
              <w:spacing w:after="40" w:before="40"/>
            </w:pPr>
            <w:r/>
            <w:r>
              <w:rPr>
                <w:rFonts w:ascii="Times New Roman" w:hAnsi="Times New Roman" w:cs="Times New Roman"/>
                <w:b/>
                <w:i w:val="0"/>
                <w:color w:val="C00000"/>
                <w:sz w:val="22"/>
              </w:rPr>
              <w:t>[Cao]</w:t>
            </w:r>
          </w:p>
          <w:p>
            <w:pPr>
              <w:spacing w:after="40" w:before="0"/>
            </w:pPr>
            <w:r>
              <w:rPr>
                <w:rFonts w:ascii="Times New Roman" w:hAnsi="Times New Roman" w:cs="Times New Roman"/>
                <w:b/>
                <w:i w:val="0"/>
                <w:sz w:val="22"/>
              </w:rPr>
              <w:t xml:space="preserve">Chủ đề </w:t>
            </w:r>
            <w:r>
              <w:rPr>
                <w:rFonts w:ascii="Times New Roman" w:hAnsi="Times New Roman" w:cs="Times New Roman"/>
                <w:b w:val="0"/>
                <w:i w:val="0"/>
                <w:sz w:val="22"/>
              </w:rPr>
              <w:t>16</w:t>
            </w:r>
          </w:p>
          <w:p>
            <w:r>
              <w:rPr>
                <w:rFonts w:ascii="Times New Roman" w:hAnsi="Times New Roman" w:cs="Times New Roman"/>
                <w:b w:val="0"/>
                <w:i/>
                <w:sz w:val="20"/>
              </w:rPr>
              <w:t>Liên đới bồi thường cùng nhà thầu / gồm thiệt hại uy tín</w:t>
            </w:r>
          </w:p>
        </w:tc>
        <w:tc>
          <w:tcPr>
            <w:tcW w:type="dxa" w:w="4400"/>
          </w:tcPr>
          <w:p>
            <w:pPr>
              <w:spacing w:after="40" w:before="40"/>
            </w:pPr>
            <w:r/>
            <w:r>
              <w:rPr>
                <w:rFonts w:ascii="Times New Roman" w:hAnsi="Times New Roman" w:cs="Times New Roman"/>
                <w:b w:val="0"/>
                <w:i w:val="0"/>
                <w:sz w:val="22"/>
              </w:rPr>
              <w:t>Trách nhiệm liên đới buộc TVGS gánh cả phần lỗi của nhà thầu; khoản 'thiệt hại uy tín' rất khó định lượng và dễ bị thổi phồng.</w:t>
            </w:r>
          </w:p>
          <w:p>
            <w:pPr>
              <w:spacing w:after="40" w:before="0"/>
            </w:pPr>
            <w:r>
              <w:rPr>
                <w:rFonts w:ascii="Times New Roman" w:hAnsi="Times New Roman" w:cs="Times New Roman"/>
                <w:b/>
                <w:i w:val="0"/>
                <w:sz w:val="20"/>
              </w:rPr>
              <w:t xml:space="preserve">Trích: </w:t>
            </w:r>
            <w:r>
              <w:rPr>
                <w:rFonts w:ascii="Times New Roman" w:hAnsi="Times New Roman" w:cs="Times New Roman"/>
                <w:b w:val="0"/>
                <w:i w:val="0"/>
                <w:sz w:val="20"/>
              </w:rPr>
              <w:t>“Bên B phải bồi thường toàn bộ thiệt hại trực tiếp và gián tiếp, bao gồm thiệt hại uy tín, thương hiệu.”</w:t>
            </w:r>
          </w:p>
          <w:p>
            <w:pPr>
              <w:spacing w:after="40" w:before="0"/>
            </w:pPr>
            <w:r>
              <w:rPr>
                <w:rFonts w:ascii="Times New Roman" w:hAnsi="Times New Roman" w:cs="Times New Roman"/>
                <w:b/>
                <w:i w:val="0"/>
                <w:sz w:val="20"/>
              </w:rPr>
              <w:t xml:space="preserve">Căn cứ: </w:t>
            </w:r>
            <w:r>
              <w:rPr>
                <w:rFonts w:ascii="Times New Roman" w:hAnsi="Times New Roman" w:cs="Times New Roman"/>
                <w:b w:val="0"/>
                <w:i w:val="0"/>
                <w:sz w:val="20"/>
              </w:rPr>
              <w:t>BLDS 2015 Điều 587 (mỗi bên chịu phần lỗi của mình); thiệt hại phải xác định được.</w:t>
            </w:r>
          </w:p>
        </w:tc>
        <w:tc>
          <w:tcPr>
            <w:tcW w:type="dxa" w:w="3126"/>
          </w:tcPr>
          <w:p>
            <w:pPr>
              <w:spacing w:after="40" w:before="40"/>
            </w:pPr>
            <w:r/>
            <w:r>
              <w:rPr>
                <w:rFonts w:ascii="Times New Roman" w:hAnsi="Times New Roman" w:cs="Times New Roman"/>
                <w:b w:val="0"/>
                <w:i w:val="0"/>
                <w:sz w:val="22"/>
              </w:rPr>
              <w:t>Chỉ chịu phần lỗi của TVGS; loại bỏ hoặc định lượng cụ thể khoản thiệt hại uy tín/thương hiệu.</w:t>
            </w:r>
          </w:p>
        </w:tc>
      </w:tr>
      <w:tr>
        <w:tc>
          <w:tcPr>
            <w:tcW w:type="dxa" w:w="1500"/>
            <w:shd w:val="clear" w:color="auto" w:fill="F8CBAD"/>
          </w:tcPr>
          <w:p>
            <w:pPr>
              <w:spacing w:after="40" w:before="40"/>
            </w:pPr>
            <w:r/>
            <w:r>
              <w:rPr>
                <w:rFonts w:ascii="Times New Roman" w:hAnsi="Times New Roman" w:cs="Times New Roman"/>
                <w:b/>
                <w:i w:val="0"/>
                <w:color w:val="C00000"/>
                <w:sz w:val="22"/>
              </w:rPr>
              <w:t>[Cao]</w:t>
            </w:r>
          </w:p>
          <w:p>
            <w:pPr>
              <w:spacing w:after="40" w:before="0"/>
            </w:pPr>
            <w:r>
              <w:rPr>
                <w:rFonts w:ascii="Times New Roman" w:hAnsi="Times New Roman" w:cs="Times New Roman"/>
                <w:b/>
                <w:i w:val="0"/>
                <w:sz w:val="22"/>
              </w:rPr>
              <w:t xml:space="preserve">Chủ đề </w:t>
            </w:r>
            <w:r>
              <w:rPr>
                <w:rFonts w:ascii="Times New Roman" w:hAnsi="Times New Roman" w:cs="Times New Roman"/>
                <w:b w:val="0"/>
                <w:i w:val="0"/>
                <w:sz w:val="22"/>
              </w:rPr>
              <w:t>18</w:t>
            </w:r>
          </w:p>
          <w:p>
            <w:r>
              <w:rPr>
                <w:rFonts w:ascii="Times New Roman" w:hAnsi="Times New Roman" w:cs="Times New Roman"/>
                <w:b w:val="0"/>
                <w:i/>
                <w:sz w:val="20"/>
              </w:rPr>
              <w:t>CĐT chấm dứt 'vì thuận tiện / không cần lý do'</w:t>
            </w:r>
          </w:p>
        </w:tc>
        <w:tc>
          <w:tcPr>
            <w:tcW w:type="dxa" w:w="4400"/>
          </w:tcPr>
          <w:p>
            <w:pPr>
              <w:spacing w:after="40" w:before="40"/>
            </w:pPr>
            <w:r/>
            <w:r>
              <w:rPr>
                <w:rFonts w:ascii="Times New Roman" w:hAnsi="Times New Roman" w:cs="Times New Roman"/>
                <w:b w:val="0"/>
                <w:i w:val="0"/>
                <w:sz w:val="22"/>
              </w:rPr>
              <w:t>Cho phép CĐT đơn phương chấm dứt tùy ý. Nếu không kèm nghĩa vụ thanh toán phần đã làm + chi phí huy động thì TVGS chịu thiệt.</w:t>
            </w:r>
          </w:p>
          <w:p>
            <w:pPr>
              <w:spacing w:after="40" w:before="0"/>
            </w:pPr>
            <w:r>
              <w:rPr>
                <w:rFonts w:ascii="Times New Roman" w:hAnsi="Times New Roman" w:cs="Times New Roman"/>
                <w:b/>
                <w:i w:val="0"/>
                <w:sz w:val="20"/>
              </w:rPr>
              <w:t xml:space="preserve">Trích: </w:t>
            </w:r>
            <w:r>
              <w:rPr>
                <w:rFonts w:ascii="Times New Roman" w:hAnsi="Times New Roman" w:cs="Times New Roman"/>
                <w:b w:val="0"/>
                <w:i w:val="0"/>
                <w:sz w:val="20"/>
              </w:rPr>
              <w:t>“Chủ đầu tư được quyền chấm dứt hợp đồng tại bất kỳ thời điểm nào không cần nêu lý do.”</w:t>
            </w:r>
          </w:p>
          <w:p>
            <w:pPr>
              <w:spacing w:after="40" w:before="0"/>
            </w:pPr>
            <w:r>
              <w:rPr>
                <w:rFonts w:ascii="Times New Roman" w:hAnsi="Times New Roman" w:cs="Times New Roman"/>
                <w:b/>
                <w:i w:val="0"/>
                <w:sz w:val="20"/>
              </w:rPr>
              <w:t xml:space="preserve">Căn cứ: </w:t>
            </w:r>
            <w:r>
              <w:rPr>
                <w:rFonts w:ascii="Times New Roman" w:hAnsi="Times New Roman" w:cs="Times New Roman"/>
                <w:b w:val="0"/>
                <w:i w:val="0"/>
                <w:sz w:val="20"/>
              </w:rPr>
              <w:t>Mẫu TT02 và thông lệ: chấm dứt vì thuận tiện phải thanh toán phần đã thực hiện + chi phí không hủy được + đền bù hợp lý.</w:t>
            </w:r>
          </w:p>
        </w:tc>
        <w:tc>
          <w:tcPr>
            <w:tcW w:type="dxa" w:w="3126"/>
          </w:tcPr>
          <w:p>
            <w:pPr>
              <w:spacing w:after="40" w:before="40"/>
            </w:pPr>
            <w:r/>
            <w:r>
              <w:rPr>
                <w:rFonts w:ascii="Times New Roman" w:hAnsi="Times New Roman" w:cs="Times New Roman"/>
                <w:b w:val="0"/>
                <w:i w:val="0"/>
                <w:sz w:val="22"/>
              </w:rPr>
              <w:t>Bổ sung: khi CĐT chấm dứt vì thuận tiện phải thanh toán phần đã làm, chi phí huy động/giải thể và một khoản đền bù.</w:t>
            </w:r>
          </w:p>
        </w:tc>
      </w:tr>
      <w:tr>
        <w:tc>
          <w:tcPr>
            <w:tcW w:type="dxa" w:w="1500"/>
            <w:shd w:val="clear" w:color="auto" w:fill="F8CBAD"/>
          </w:tcPr>
          <w:p>
            <w:pPr>
              <w:spacing w:after="40" w:before="40"/>
            </w:pPr>
            <w:r/>
            <w:r>
              <w:rPr>
                <w:rFonts w:ascii="Times New Roman" w:hAnsi="Times New Roman" w:cs="Times New Roman"/>
                <w:b/>
                <w:i w:val="0"/>
                <w:color w:val="C00000"/>
                <w:sz w:val="22"/>
              </w:rPr>
              <w:t>[Cao]</w:t>
            </w:r>
          </w:p>
          <w:p>
            <w:pPr>
              <w:spacing w:after="40" w:before="0"/>
            </w:pPr>
            <w:r>
              <w:rPr>
                <w:rFonts w:ascii="Times New Roman" w:hAnsi="Times New Roman" w:cs="Times New Roman"/>
                <w:b/>
                <w:i w:val="0"/>
                <w:sz w:val="22"/>
              </w:rPr>
              <w:t xml:space="preserve">Chủ đề </w:t>
            </w:r>
            <w:r>
              <w:rPr>
                <w:rFonts w:ascii="Times New Roman" w:hAnsi="Times New Roman" w:cs="Times New Roman"/>
                <w:b w:val="0"/>
                <w:i w:val="0"/>
                <w:sz w:val="22"/>
              </w:rPr>
              <w:t>21</w:t>
            </w:r>
          </w:p>
          <w:p>
            <w:r>
              <w:rPr>
                <w:rFonts w:ascii="Times New Roman" w:hAnsi="Times New Roman" w:cs="Times New Roman"/>
                <w:b w:val="0"/>
                <w:i/>
                <w:sz w:val="20"/>
              </w:rPr>
              <w:t>Ngôn ngữ ưu tiên là tiếng nước ngoài</w:t>
            </w:r>
          </w:p>
        </w:tc>
        <w:tc>
          <w:tcPr>
            <w:tcW w:type="dxa" w:w="4400"/>
          </w:tcPr>
          <w:p>
            <w:pPr>
              <w:spacing w:after="40" w:before="40"/>
            </w:pPr>
            <w:r/>
            <w:r>
              <w:rPr>
                <w:rFonts w:ascii="Times New Roman" w:hAnsi="Times New Roman" w:cs="Times New Roman"/>
                <w:b w:val="0"/>
                <w:i w:val="0"/>
                <w:sz w:val="22"/>
              </w:rPr>
              <w:t>Khi hợp đồng song ngữ lấy bản tiếng nước ngoài làm chuẩn, mọi khác biệt câu chữ sẽ giải thích bất lợi cho TVGS, nhất là khi tố tụng tại VN.</w:t>
            </w:r>
          </w:p>
          <w:p>
            <w:pPr>
              <w:spacing w:after="40" w:before="0"/>
            </w:pPr>
            <w:r>
              <w:rPr>
                <w:rFonts w:ascii="Times New Roman" w:hAnsi="Times New Roman" w:cs="Times New Roman"/>
                <w:b/>
                <w:i w:val="0"/>
                <w:sz w:val="20"/>
              </w:rPr>
              <w:t xml:space="preserve">Trích: </w:t>
            </w:r>
            <w:r>
              <w:rPr>
                <w:rFonts w:ascii="Times New Roman" w:hAnsi="Times New Roman" w:cs="Times New Roman"/>
                <w:b w:val="0"/>
                <w:i w:val="0"/>
                <w:sz w:val="20"/>
              </w:rPr>
              <w:t>“The English version shall prevail. All copyright shall be assigned to the Employer.”</w:t>
            </w:r>
          </w:p>
          <w:p>
            <w:pPr>
              <w:spacing w:after="40" w:before="0"/>
            </w:pPr>
            <w:r>
              <w:rPr>
                <w:rFonts w:ascii="Times New Roman" w:hAnsi="Times New Roman" w:cs="Times New Roman"/>
                <w:b/>
                <w:i w:val="0"/>
                <w:sz w:val="20"/>
              </w:rPr>
              <w:t xml:space="preserve">Căn cứ: </w:t>
            </w:r>
            <w:r>
              <w:rPr>
                <w:rFonts w:ascii="Times New Roman" w:hAnsi="Times New Roman" w:cs="Times New Roman"/>
                <w:b w:val="0"/>
                <w:i w:val="0"/>
                <w:sz w:val="20"/>
              </w:rPr>
              <w:t>Khi luật áp dụng là VN và tố tụng tại VN, nên giữ tiếng Việt ưu tiên.</w:t>
            </w:r>
          </w:p>
        </w:tc>
        <w:tc>
          <w:tcPr>
            <w:tcW w:type="dxa" w:w="3126"/>
          </w:tcPr>
          <w:p>
            <w:pPr>
              <w:spacing w:after="40" w:before="40"/>
            </w:pPr>
            <w:r/>
            <w:r>
              <w:rPr>
                <w:rFonts w:ascii="Times New Roman" w:hAnsi="Times New Roman" w:cs="Times New Roman"/>
                <w:b w:val="0"/>
                <w:i w:val="0"/>
                <w:sz w:val="22"/>
              </w:rPr>
              <w:t>Giữ bản tiếng Việt ưu tiên (hoặc ít nhất ngang giá trị); đối chiếu kỹ câu chữ hai bản trước khi ký.</w:t>
            </w:r>
          </w:p>
        </w:tc>
      </w:tr>
      <w:tr>
        <w:tc>
          <w:tcPr>
            <w:tcW w:type="dxa" w:w="1500"/>
            <w:shd w:val="clear" w:color="auto" w:fill="F8CBAD"/>
          </w:tcPr>
          <w:p>
            <w:pPr>
              <w:spacing w:after="40" w:before="40"/>
            </w:pPr>
            <w:r/>
            <w:r>
              <w:rPr>
                <w:rFonts w:ascii="Times New Roman" w:hAnsi="Times New Roman" w:cs="Times New Roman"/>
                <w:b/>
                <w:i w:val="0"/>
                <w:color w:val="C00000"/>
                <w:sz w:val="22"/>
              </w:rPr>
              <w:t>[Cao]</w:t>
            </w:r>
          </w:p>
          <w:p>
            <w:pPr>
              <w:spacing w:after="40" w:before="0"/>
            </w:pPr>
            <w:r>
              <w:rPr>
                <w:rFonts w:ascii="Times New Roman" w:hAnsi="Times New Roman" w:cs="Times New Roman"/>
                <w:b/>
                <w:i w:val="0"/>
                <w:sz w:val="22"/>
              </w:rPr>
              <w:t xml:space="preserve">Chủ đề </w:t>
            </w:r>
            <w:r>
              <w:rPr>
                <w:rFonts w:ascii="Times New Roman" w:hAnsi="Times New Roman" w:cs="Times New Roman"/>
                <w:b w:val="0"/>
                <w:i w:val="0"/>
                <w:sz w:val="22"/>
              </w:rPr>
              <w:t>25</w:t>
            </w:r>
          </w:p>
          <w:p>
            <w:r>
              <w:rPr>
                <w:rFonts w:ascii="Times New Roman" w:hAnsi="Times New Roman" w:cs="Times New Roman"/>
                <w:b w:val="0"/>
                <w:i/>
                <w:sz w:val="20"/>
              </w:rPr>
              <w:t>Indemnify / hold harmless (bồi hoàn, gánh chịu thay)</w:t>
            </w:r>
          </w:p>
        </w:tc>
        <w:tc>
          <w:tcPr>
            <w:tcW w:type="dxa" w:w="4400"/>
          </w:tcPr>
          <w:p>
            <w:pPr>
              <w:spacing w:after="40" w:before="40"/>
            </w:pPr>
            <w:r/>
            <w:r>
              <w:rPr>
                <w:rFonts w:ascii="Times New Roman" w:hAnsi="Times New Roman" w:cs="Times New Roman"/>
                <w:b w:val="0"/>
                <w:i w:val="0"/>
                <w:sz w:val="22"/>
              </w:rPr>
              <w:t>TVGS 'bồi hoàn và giữ CĐT vô hại' trước MỌI khiếu nại/tổn thất — phạm vi cực rộng, thường không trần, không loại trừ gián tiếp.</w:t>
            </w:r>
          </w:p>
          <w:p>
            <w:pPr>
              <w:spacing w:after="40" w:before="0"/>
            </w:pPr>
            <w:r>
              <w:rPr>
                <w:rFonts w:ascii="Times New Roman" w:hAnsi="Times New Roman" w:cs="Times New Roman"/>
                <w:b/>
                <w:i w:val="0"/>
                <w:sz w:val="20"/>
              </w:rPr>
              <w:t xml:space="preserve">Trích: </w:t>
            </w:r>
            <w:r>
              <w:rPr>
                <w:rFonts w:ascii="Times New Roman" w:hAnsi="Times New Roman" w:cs="Times New Roman"/>
                <w:b w:val="0"/>
                <w:i w:val="0"/>
                <w:sz w:val="20"/>
              </w:rPr>
              <w:t>“The Consultant shall indemnify and hold harmless the Employer against all claims.”</w:t>
            </w:r>
          </w:p>
          <w:p>
            <w:pPr>
              <w:spacing w:after="40" w:before="0"/>
            </w:pPr>
            <w:r>
              <w:rPr>
                <w:rFonts w:ascii="Times New Roman" w:hAnsi="Times New Roman" w:cs="Times New Roman"/>
                <w:b/>
                <w:i w:val="0"/>
                <w:sz w:val="20"/>
              </w:rPr>
              <w:t xml:space="preserve">Căn cứ: </w:t>
            </w:r>
            <w:r>
              <w:rPr>
                <w:rFonts w:ascii="Times New Roman" w:hAnsi="Times New Roman" w:cs="Times New Roman"/>
                <w:b w:val="0"/>
                <w:i w:val="0"/>
                <w:sz w:val="20"/>
              </w:rPr>
              <w:t>Thông lệ tư vấn quốc tế giới hạn indemnity theo phần lỗi và có trần; BLDS chỉ bồi thường thiệt hại do lỗi.</w:t>
            </w:r>
          </w:p>
        </w:tc>
        <w:tc>
          <w:tcPr>
            <w:tcW w:type="dxa" w:w="3126"/>
          </w:tcPr>
          <w:p>
            <w:pPr>
              <w:spacing w:after="40" w:before="40"/>
            </w:pPr>
            <w:r/>
            <w:r>
              <w:rPr>
                <w:rFonts w:ascii="Times New Roman" w:hAnsi="Times New Roman" w:cs="Times New Roman"/>
                <w:b w:val="0"/>
                <w:i w:val="0"/>
                <w:sz w:val="22"/>
              </w:rPr>
              <w:t>Thêm trần trách nhiệm; loại trừ thiệt hại gián tiếp; giới hạn indemnity theo phần lỗi của TVGS và mức bảo hiểm.</w:t>
            </w:r>
          </w:p>
        </w:tc>
      </w:tr>
      <w:tr>
        <w:tc>
          <w:tcPr>
            <w:tcW w:type="dxa" w:w="1500"/>
            <w:shd w:val="clear" w:color="auto" w:fill="FCE4D6"/>
          </w:tcPr>
          <w:p>
            <w:pPr>
              <w:spacing w:after="40" w:before="40"/>
            </w:pPr>
            <w:r/>
            <w:r>
              <w:rPr>
                <w:rFonts w:ascii="Times New Roman" w:hAnsi="Times New Roman" w:cs="Times New Roman"/>
                <w:b/>
                <w:i w:val="0"/>
                <w:color w:val="C45911"/>
                <w:sz w:val="22"/>
              </w:rPr>
              <w:t>[Trung bình]</w:t>
            </w:r>
          </w:p>
          <w:p>
            <w:pPr>
              <w:spacing w:after="40" w:before="0"/>
            </w:pPr>
            <w:r>
              <w:rPr>
                <w:rFonts w:ascii="Times New Roman" w:hAnsi="Times New Roman" w:cs="Times New Roman"/>
                <w:b/>
                <w:i w:val="0"/>
                <w:sz w:val="22"/>
              </w:rPr>
              <w:t xml:space="preserve">Chủ đề </w:t>
            </w:r>
            <w:r>
              <w:rPr>
                <w:rFonts w:ascii="Times New Roman" w:hAnsi="Times New Roman" w:cs="Times New Roman"/>
                <w:b w:val="0"/>
                <w:i w:val="0"/>
                <w:sz w:val="22"/>
              </w:rPr>
              <w:t>3</w:t>
            </w:r>
          </w:p>
          <w:p>
            <w:r>
              <w:rPr>
                <w:rFonts w:ascii="Times New Roman" w:hAnsi="Times New Roman" w:cs="Times New Roman"/>
                <w:b w:val="0"/>
                <w:i/>
                <w:sz w:val="20"/>
              </w:rPr>
              <w:t>Phạm vi 'bao gồm nhưng không giới hạn'</w:t>
            </w:r>
          </w:p>
        </w:tc>
        <w:tc>
          <w:tcPr>
            <w:tcW w:type="dxa" w:w="4400"/>
          </w:tcPr>
          <w:p>
            <w:pPr>
              <w:spacing w:after="40" w:before="40"/>
            </w:pPr>
            <w:r/>
            <w:r>
              <w:rPr>
                <w:rFonts w:ascii="Times New Roman" w:hAnsi="Times New Roman" w:cs="Times New Roman"/>
                <w:b w:val="0"/>
                <w:i w:val="0"/>
                <w:sz w:val="22"/>
              </w:rPr>
              <w:t>Cụm này mở phạm vi vô hạn, cho phép CĐT yêu cầu thêm việc ngoài dự kiến mà không tăng phí.</w:t>
            </w:r>
          </w:p>
          <w:p>
            <w:pPr>
              <w:spacing w:after="40" w:before="0"/>
            </w:pPr>
            <w:r>
              <w:rPr>
                <w:rFonts w:ascii="Times New Roman" w:hAnsi="Times New Roman" w:cs="Times New Roman"/>
                <w:b/>
                <w:i w:val="0"/>
                <w:sz w:val="20"/>
              </w:rPr>
              <w:t xml:space="preserve">Trích: </w:t>
            </w:r>
            <w:r>
              <w:rPr>
                <w:rFonts w:ascii="Times New Roman" w:hAnsi="Times New Roman" w:cs="Times New Roman"/>
                <w:b w:val="0"/>
                <w:i w:val="0"/>
                <w:sz w:val="20"/>
              </w:rPr>
              <w:t>“Trong hợp đồng này, phạm vi công việc bao gồm nhưng không giới hạn các nội dung giám sát.”</w:t>
            </w:r>
          </w:p>
          <w:p>
            <w:pPr>
              <w:spacing w:after="40" w:before="0"/>
            </w:pPr>
            <w:r>
              <w:rPr>
                <w:rFonts w:ascii="Times New Roman" w:hAnsi="Times New Roman" w:cs="Times New Roman"/>
                <w:b/>
                <w:i w:val="0"/>
                <w:sz w:val="20"/>
              </w:rPr>
              <w:t xml:space="preserve">Căn cứ: </w:t>
            </w:r>
            <w:r>
              <w:rPr>
                <w:rFonts w:ascii="Times New Roman" w:hAnsi="Times New Roman" w:cs="Times New Roman"/>
                <w:b w:val="0"/>
                <w:i w:val="0"/>
                <w:sz w:val="20"/>
              </w:rPr>
              <w:t>Điều 19 NĐ 06/2021 (phạm vi giám sát có giới hạn); mẫu TT02 gắn phạm vi với phụ lục công việc cụ thể.</w:t>
            </w:r>
          </w:p>
        </w:tc>
        <w:tc>
          <w:tcPr>
            <w:tcW w:type="dxa" w:w="3126"/>
          </w:tcPr>
          <w:p>
            <w:pPr>
              <w:spacing w:after="40" w:before="40"/>
            </w:pPr>
            <w:r/>
            <w:r>
              <w:rPr>
                <w:rFonts w:ascii="Times New Roman" w:hAnsi="Times New Roman" w:cs="Times New Roman"/>
                <w:b w:val="0"/>
                <w:i w:val="0"/>
                <w:sz w:val="22"/>
              </w:rPr>
              <w:t>Giới hạn phạm vi theo Phụ lục công việc; việc ngoài phạm vi phải lập phụ lục và điều chỉnh phí.</w:t>
            </w:r>
          </w:p>
        </w:tc>
      </w:tr>
      <w:tr>
        <w:tc>
          <w:tcPr>
            <w:tcW w:type="dxa" w:w="1500"/>
            <w:shd w:val="clear" w:color="auto" w:fill="FCE4D6"/>
          </w:tcPr>
          <w:p>
            <w:pPr>
              <w:spacing w:after="40" w:before="40"/>
            </w:pPr>
            <w:r/>
            <w:r>
              <w:rPr>
                <w:rFonts w:ascii="Times New Roman" w:hAnsi="Times New Roman" w:cs="Times New Roman"/>
                <w:b/>
                <w:i w:val="0"/>
                <w:color w:val="C45911"/>
                <w:sz w:val="22"/>
              </w:rPr>
              <w:t>[Trung bình]</w:t>
            </w:r>
          </w:p>
          <w:p>
            <w:pPr>
              <w:spacing w:after="40" w:before="0"/>
            </w:pPr>
            <w:r>
              <w:rPr>
                <w:rFonts w:ascii="Times New Roman" w:hAnsi="Times New Roman" w:cs="Times New Roman"/>
                <w:b/>
                <w:i w:val="0"/>
                <w:sz w:val="22"/>
              </w:rPr>
              <w:t xml:space="preserve">Chủ đề </w:t>
            </w:r>
            <w:r>
              <w:rPr>
                <w:rFonts w:ascii="Times New Roman" w:hAnsi="Times New Roman" w:cs="Times New Roman"/>
                <w:b w:val="0"/>
                <w:i w:val="0"/>
                <w:sz w:val="22"/>
              </w:rPr>
              <w:t>3</w:t>
            </w:r>
          </w:p>
          <w:p>
            <w:r>
              <w:rPr>
                <w:rFonts w:ascii="Times New Roman" w:hAnsi="Times New Roman" w:cs="Times New Roman"/>
                <w:b w:val="0"/>
                <w:i/>
                <w:sz w:val="20"/>
              </w:rPr>
              <w:t>Gán TVGS 'lập/thu thập hồ sơ nghiệm thu, hoàn công'</w:t>
            </w:r>
          </w:p>
        </w:tc>
        <w:tc>
          <w:tcPr>
            <w:tcW w:type="dxa" w:w="4400"/>
          </w:tcPr>
          <w:p>
            <w:pPr>
              <w:spacing w:after="40" w:before="40"/>
            </w:pPr>
            <w:r/>
            <w:r>
              <w:rPr>
                <w:rFonts w:ascii="Times New Roman" w:hAnsi="Times New Roman" w:cs="Times New Roman"/>
                <w:b w:val="0"/>
                <w:i w:val="0"/>
                <w:sz w:val="22"/>
              </w:rPr>
              <w:t>Lập hồ sơ nghiệm thu/hoàn công là việc của nhà thầu và CĐT; TVGS chỉ kiểm tra và ký xác nhận.</w:t>
            </w:r>
          </w:p>
          <w:p>
            <w:pPr>
              <w:spacing w:after="40" w:before="0"/>
            </w:pPr>
            <w:r>
              <w:rPr>
                <w:rFonts w:ascii="Times New Roman" w:hAnsi="Times New Roman" w:cs="Times New Roman"/>
                <w:b/>
                <w:i w:val="0"/>
                <w:sz w:val="20"/>
              </w:rPr>
              <w:t xml:space="preserve">Trích: </w:t>
            </w:r>
            <w:r>
              <w:rPr>
                <w:rFonts w:ascii="Times New Roman" w:hAnsi="Times New Roman" w:cs="Times New Roman"/>
                <w:b w:val="0"/>
                <w:i w:val="0"/>
                <w:sz w:val="20"/>
              </w:rPr>
              <w:t>“Tư vấn giám sát lập hồ sơ nghiệm thu và hồ sơ hoàn công cho công trình.”</w:t>
            </w:r>
          </w:p>
          <w:p>
            <w:pPr>
              <w:spacing w:after="40" w:before="0"/>
            </w:pPr>
            <w:r>
              <w:rPr>
                <w:rFonts w:ascii="Times New Roman" w:hAnsi="Times New Roman" w:cs="Times New Roman"/>
                <w:b/>
                <w:i w:val="0"/>
                <w:sz w:val="20"/>
              </w:rPr>
              <w:t xml:space="preserve">Căn cứ: </w:t>
            </w:r>
            <w:r>
              <w:rPr>
                <w:rFonts w:ascii="Times New Roman" w:hAnsi="Times New Roman" w:cs="Times New Roman"/>
                <w:b w:val="0"/>
                <w:i w:val="0"/>
                <w:sz w:val="20"/>
              </w:rPr>
              <w:t>Điều 13.17 (nhà thầu) và Điều 14.11 (CĐT) NĐ 06/2021; TVGS tham gia nghiệm thu, ký xác nhận.</w:t>
            </w:r>
          </w:p>
        </w:tc>
        <w:tc>
          <w:tcPr>
            <w:tcW w:type="dxa" w:w="3126"/>
          </w:tcPr>
          <w:p>
            <w:pPr>
              <w:spacing w:after="40" w:before="40"/>
            </w:pPr>
            <w:r/>
            <w:r>
              <w:rPr>
                <w:rFonts w:ascii="Times New Roman" w:hAnsi="Times New Roman" w:cs="Times New Roman"/>
                <w:b w:val="0"/>
                <w:i w:val="0"/>
                <w:sz w:val="22"/>
              </w:rPr>
              <w:t>Sửa: TVGS 'kiểm tra, tham gia nghiệm thu, ký xác nhận'; việc lập hồ sơ thuộc nhà thầu/CĐT.</w:t>
            </w:r>
          </w:p>
        </w:tc>
      </w:tr>
      <w:tr>
        <w:tc>
          <w:tcPr>
            <w:tcW w:type="dxa" w:w="1500"/>
            <w:shd w:val="clear" w:color="auto" w:fill="FCE4D6"/>
          </w:tcPr>
          <w:p>
            <w:pPr>
              <w:spacing w:after="40" w:before="40"/>
            </w:pPr>
            <w:r/>
            <w:r>
              <w:rPr>
                <w:rFonts w:ascii="Times New Roman" w:hAnsi="Times New Roman" w:cs="Times New Roman"/>
                <w:b/>
                <w:i w:val="0"/>
                <w:color w:val="C45911"/>
                <w:sz w:val="22"/>
              </w:rPr>
              <w:t>[Trung bình]</w:t>
            </w:r>
          </w:p>
          <w:p>
            <w:pPr>
              <w:spacing w:after="40" w:before="0"/>
            </w:pPr>
            <w:r>
              <w:rPr>
                <w:rFonts w:ascii="Times New Roman" w:hAnsi="Times New Roman" w:cs="Times New Roman"/>
                <w:b/>
                <w:i w:val="0"/>
                <w:sz w:val="22"/>
              </w:rPr>
              <w:t xml:space="preserve">Chủ đề </w:t>
            </w:r>
            <w:r>
              <w:rPr>
                <w:rFonts w:ascii="Times New Roman" w:hAnsi="Times New Roman" w:cs="Times New Roman"/>
                <w:b w:val="0"/>
                <w:i w:val="0"/>
                <w:sz w:val="22"/>
              </w:rPr>
              <w:t>10</w:t>
            </w:r>
          </w:p>
          <w:p>
            <w:r>
              <w:rPr>
                <w:rFonts w:ascii="Times New Roman" w:hAnsi="Times New Roman" w:cs="Times New Roman"/>
                <w:b w:val="0"/>
                <w:i/>
                <w:sz w:val="20"/>
              </w:rPr>
              <w:t>Buộc mua bảo hiểm trách nhiệm nghề nghiệp</w:t>
            </w:r>
          </w:p>
        </w:tc>
        <w:tc>
          <w:tcPr>
            <w:tcW w:type="dxa" w:w="4400"/>
          </w:tcPr>
          <w:p>
            <w:pPr>
              <w:spacing w:after="40" w:before="40"/>
            </w:pPr>
            <w:r/>
            <w:r>
              <w:rPr>
                <w:rFonts w:ascii="Times New Roman" w:hAnsi="Times New Roman" w:cs="Times New Roman"/>
                <w:b w:val="0"/>
                <w:i w:val="0"/>
                <w:sz w:val="22"/>
              </w:rPr>
              <w:t>Pháp luật KHÔNG bắt buộc bảo hiểm trách nhiệm nghề nghiệp đối với TVGS (khác thiết kế/khảo sát); buộc mua làm tăng chi phí.</w:t>
            </w:r>
          </w:p>
          <w:p>
            <w:pPr>
              <w:spacing w:after="40" w:before="0"/>
            </w:pPr>
            <w:r>
              <w:rPr>
                <w:rFonts w:ascii="Times New Roman" w:hAnsi="Times New Roman" w:cs="Times New Roman"/>
                <w:b/>
                <w:i w:val="0"/>
                <w:sz w:val="20"/>
              </w:rPr>
              <w:t xml:space="preserve">Trích: </w:t>
            </w:r>
            <w:r>
              <w:rPr>
                <w:rFonts w:ascii="Times New Roman" w:hAnsi="Times New Roman" w:cs="Times New Roman"/>
                <w:b w:val="0"/>
                <w:i w:val="0"/>
                <w:sz w:val="20"/>
              </w:rPr>
              <w:t>“Bên B phải mua bảo hiểm trách nhiệm nghề nghiệp trong suốt thời gian thực hiện.”</w:t>
            </w:r>
          </w:p>
          <w:p>
            <w:pPr>
              <w:spacing w:after="40" w:before="0"/>
            </w:pPr>
            <w:r>
              <w:rPr>
                <w:rFonts w:ascii="Times New Roman" w:hAnsi="Times New Roman" w:cs="Times New Roman"/>
                <w:b/>
                <w:i w:val="0"/>
                <w:sz w:val="20"/>
              </w:rPr>
              <w:t xml:space="preserve">Căn cứ: </w:t>
            </w:r>
            <w:r>
              <w:rPr>
                <w:rFonts w:ascii="Times New Roman" w:hAnsi="Times New Roman" w:cs="Times New Roman"/>
                <w:b w:val="0"/>
                <w:i w:val="0"/>
                <w:sz w:val="20"/>
              </w:rPr>
              <w:t>NĐ về bảo hiểm trong hoạt động xây dựng: bảo hiểm TNN bắt buộc cho khảo sát/thiết kế, không cho giám sát; BHXH đã gồm BH tai nạn LĐ.</w:t>
            </w:r>
          </w:p>
        </w:tc>
        <w:tc>
          <w:tcPr>
            <w:tcW w:type="dxa" w:w="3126"/>
          </w:tcPr>
          <w:p>
            <w:pPr>
              <w:spacing w:after="40" w:before="40"/>
            </w:pPr>
            <w:r/>
            <w:r>
              <w:rPr>
                <w:rFonts w:ascii="Times New Roman" w:hAnsi="Times New Roman" w:cs="Times New Roman"/>
                <w:b w:val="0"/>
                <w:i w:val="0"/>
                <w:sz w:val="22"/>
              </w:rPr>
              <w:t>Ghi 'mua bảo hiểm theo quy định pháp luật' hoặc bỏ yêu cầu bắt buộc; nếu CĐT muốn thì tính vào giá.</w:t>
            </w:r>
          </w:p>
        </w:tc>
      </w:tr>
      <w:tr>
        <w:tc>
          <w:tcPr>
            <w:tcW w:type="dxa" w:w="1500"/>
            <w:shd w:val="clear" w:color="auto" w:fill="FCE4D6"/>
          </w:tcPr>
          <w:p>
            <w:pPr>
              <w:spacing w:after="40" w:before="40"/>
            </w:pPr>
            <w:r/>
            <w:r>
              <w:rPr>
                <w:rFonts w:ascii="Times New Roman" w:hAnsi="Times New Roman" w:cs="Times New Roman"/>
                <w:b/>
                <w:i w:val="0"/>
                <w:color w:val="C45911"/>
                <w:sz w:val="22"/>
              </w:rPr>
              <w:t>[Trung bình]</w:t>
            </w:r>
          </w:p>
          <w:p>
            <w:pPr>
              <w:spacing w:after="40" w:before="0"/>
            </w:pPr>
            <w:r>
              <w:rPr>
                <w:rFonts w:ascii="Times New Roman" w:hAnsi="Times New Roman" w:cs="Times New Roman"/>
                <w:b/>
                <w:i w:val="0"/>
                <w:sz w:val="22"/>
              </w:rPr>
              <w:t xml:space="preserve">Chủ đề </w:t>
            </w:r>
            <w:r>
              <w:rPr>
                <w:rFonts w:ascii="Times New Roman" w:hAnsi="Times New Roman" w:cs="Times New Roman"/>
                <w:b w:val="0"/>
                <w:i w:val="0"/>
                <w:sz w:val="22"/>
              </w:rPr>
              <w:t>13</w:t>
            </w:r>
          </w:p>
          <w:p>
            <w:r>
              <w:rPr>
                <w:rFonts w:ascii="Times New Roman" w:hAnsi="Times New Roman" w:cs="Times New Roman"/>
                <w:b w:val="0"/>
                <w:i/>
                <w:sz w:val="20"/>
              </w:rPr>
              <w:t>Thay 'bất kỳ nhân sự' phải báo trước dài &amp; CĐT chấp thuận</w:t>
            </w:r>
          </w:p>
        </w:tc>
        <w:tc>
          <w:tcPr>
            <w:tcW w:type="dxa" w:w="4400"/>
          </w:tcPr>
          <w:p>
            <w:pPr>
              <w:spacing w:after="40" w:before="40"/>
            </w:pPr>
            <w:r/>
            <w:r>
              <w:rPr>
                <w:rFonts w:ascii="Times New Roman" w:hAnsi="Times New Roman" w:cs="Times New Roman"/>
                <w:b w:val="0"/>
                <w:i w:val="0"/>
                <w:sz w:val="22"/>
              </w:rPr>
              <w:t>Báo trước dài (30 ngày) cho MỌI nhân sự là bất khả thi khi nhân sự nghỉ đột xuất, ốm đau.</w:t>
            </w:r>
          </w:p>
          <w:p>
            <w:pPr>
              <w:spacing w:after="40" w:before="0"/>
            </w:pPr>
            <w:r>
              <w:rPr>
                <w:rFonts w:ascii="Times New Roman" w:hAnsi="Times New Roman" w:cs="Times New Roman"/>
                <w:b/>
                <w:i w:val="0"/>
                <w:sz w:val="20"/>
              </w:rPr>
              <w:t xml:space="preserve">Trích: </w:t>
            </w:r>
            <w:r>
              <w:rPr>
                <w:rFonts w:ascii="Times New Roman" w:hAnsi="Times New Roman" w:cs="Times New Roman"/>
                <w:b w:val="0"/>
                <w:i w:val="0"/>
                <w:sz w:val="20"/>
              </w:rPr>
              <w:t>“Việc thay thế bất kỳ nhân sự nào phải báo trước 30 ngày và được Chủ đầu tư chấp thuận.”</w:t>
            </w:r>
          </w:p>
          <w:p>
            <w:pPr>
              <w:spacing w:after="40" w:before="0"/>
            </w:pPr>
            <w:r>
              <w:rPr>
                <w:rFonts w:ascii="Times New Roman" w:hAnsi="Times New Roman" w:cs="Times New Roman"/>
                <w:b/>
                <w:i w:val="0"/>
                <w:sz w:val="20"/>
              </w:rPr>
              <w:t xml:space="preserve">Căn cứ: </w:t>
            </w:r>
            <w:r>
              <w:rPr>
                <w:rFonts w:ascii="Times New Roman" w:hAnsi="Times New Roman" w:cs="Times New Roman"/>
                <w:b w:val="0"/>
                <w:i w:val="0"/>
                <w:sz w:val="20"/>
              </w:rPr>
              <w:t>Mẫu TT02: chỉ ràng buộc nhân sự chủ chốt; bất khả kháng được thay ngay bằng người tương đương.</w:t>
            </w:r>
          </w:p>
        </w:tc>
        <w:tc>
          <w:tcPr>
            <w:tcW w:type="dxa" w:w="3126"/>
          </w:tcPr>
          <w:p>
            <w:pPr>
              <w:spacing w:after="40" w:before="40"/>
            </w:pPr>
            <w:r/>
            <w:r>
              <w:rPr>
                <w:rFonts w:ascii="Times New Roman" w:hAnsi="Times New Roman" w:cs="Times New Roman"/>
                <w:b w:val="0"/>
                <w:i w:val="0"/>
                <w:sz w:val="22"/>
              </w:rPr>
              <w:t>30 ngày chỉ áp cho nhân sự chủ chốt thay chủ động; trường hợp đột xuất thay ngay bằng người tương đương (báo 3 ngày).</w:t>
            </w:r>
          </w:p>
        </w:tc>
      </w:tr>
      <w:tr>
        <w:tc>
          <w:tcPr>
            <w:tcW w:type="dxa" w:w="1500"/>
            <w:shd w:val="clear" w:color="auto" w:fill="FCE4D6"/>
          </w:tcPr>
          <w:p>
            <w:pPr>
              <w:spacing w:after="40" w:before="40"/>
            </w:pPr>
            <w:r/>
            <w:r>
              <w:rPr>
                <w:rFonts w:ascii="Times New Roman" w:hAnsi="Times New Roman" w:cs="Times New Roman"/>
                <w:b/>
                <w:i w:val="0"/>
                <w:color w:val="C45911"/>
                <w:sz w:val="22"/>
              </w:rPr>
              <w:t>[Trung bình]</w:t>
            </w:r>
          </w:p>
          <w:p>
            <w:pPr>
              <w:spacing w:after="40" w:before="0"/>
            </w:pPr>
            <w:r>
              <w:rPr>
                <w:rFonts w:ascii="Times New Roman" w:hAnsi="Times New Roman" w:cs="Times New Roman"/>
                <w:b/>
                <w:i w:val="0"/>
                <w:sz w:val="22"/>
              </w:rPr>
              <w:t xml:space="preserve">Chủ đề </w:t>
            </w:r>
            <w:r>
              <w:rPr>
                <w:rFonts w:ascii="Times New Roman" w:hAnsi="Times New Roman" w:cs="Times New Roman"/>
                <w:b w:val="0"/>
                <w:i w:val="0"/>
                <w:sz w:val="22"/>
              </w:rPr>
              <w:t>13</w:t>
            </w:r>
          </w:p>
          <w:p>
            <w:r>
              <w:rPr>
                <w:rFonts w:ascii="Times New Roman" w:hAnsi="Times New Roman" w:cs="Times New Roman"/>
                <w:b w:val="0"/>
                <w:i/>
                <w:sz w:val="20"/>
              </w:rPr>
              <w:t>Buộc làm việc kể cả lễ/tết, bất kỳ thời điểm, không tính phí</w:t>
            </w:r>
          </w:p>
        </w:tc>
        <w:tc>
          <w:tcPr>
            <w:tcW w:type="dxa" w:w="4400"/>
          </w:tcPr>
          <w:p>
            <w:pPr>
              <w:spacing w:after="40" w:before="40"/>
            </w:pPr>
            <w:r/>
            <w:r>
              <w:rPr>
                <w:rFonts w:ascii="Times New Roman" w:hAnsi="Times New Roman" w:cs="Times New Roman"/>
                <w:b w:val="0"/>
                <w:i w:val="0"/>
                <w:sz w:val="22"/>
              </w:rPr>
              <w:t>Buộc TVGS làm ngoài giờ/ngày lễ không giới hạn và không bù chi phí, đẩy chi phí nhân công sang TVGS.</w:t>
            </w:r>
          </w:p>
          <w:p>
            <w:pPr>
              <w:spacing w:after="40" w:before="0"/>
            </w:pPr>
            <w:r>
              <w:rPr>
                <w:rFonts w:ascii="Times New Roman" w:hAnsi="Times New Roman" w:cs="Times New Roman"/>
                <w:b/>
                <w:i w:val="0"/>
                <w:sz w:val="20"/>
              </w:rPr>
              <w:t xml:space="preserve">Trích: </w:t>
            </w:r>
            <w:r>
              <w:rPr>
                <w:rFonts w:ascii="Times New Roman" w:hAnsi="Times New Roman" w:cs="Times New Roman"/>
                <w:b w:val="0"/>
                <w:i w:val="0"/>
                <w:sz w:val="20"/>
              </w:rPr>
              <w:t>“Bên B phải cử người làm việc kể cả ngày nghỉ, lễ, tết theo yêu cầu, không tính thêm chi phí.”</w:t>
            </w:r>
          </w:p>
          <w:p>
            <w:pPr>
              <w:spacing w:after="40" w:before="0"/>
            </w:pPr>
            <w:r>
              <w:rPr>
                <w:rFonts w:ascii="Times New Roman" w:hAnsi="Times New Roman" w:cs="Times New Roman"/>
                <w:b/>
                <w:i w:val="0"/>
                <w:sz w:val="20"/>
              </w:rPr>
              <w:t xml:space="preserve">Căn cứ: </w:t>
            </w:r>
            <w:r>
              <w:rPr>
                <w:rFonts w:ascii="Times New Roman" w:hAnsi="Times New Roman" w:cs="Times New Roman"/>
                <w:b w:val="0"/>
                <w:i w:val="0"/>
                <w:sz w:val="20"/>
              </w:rPr>
              <w:t>Bộ luật Lao động (làm thêm giờ có giới hạn và phải trả lương thêm giờ); mẫu TT02 giới hạn hợp lý.</w:t>
            </w:r>
          </w:p>
        </w:tc>
        <w:tc>
          <w:tcPr>
            <w:tcW w:type="dxa" w:w="3126"/>
          </w:tcPr>
          <w:p>
            <w:pPr>
              <w:spacing w:after="40" w:before="40"/>
            </w:pPr>
            <w:r/>
            <w:r>
              <w:rPr>
                <w:rFonts w:ascii="Times New Roman" w:hAnsi="Times New Roman" w:cs="Times New Roman"/>
                <w:b w:val="0"/>
                <w:i w:val="0"/>
                <w:sz w:val="22"/>
              </w:rPr>
              <w:t>Giới hạn trong giờ làm việc; phần vượt mức/ngoài giờ có cơ chế bù chi phí hoặc nghỉ bù.</w:t>
            </w:r>
          </w:p>
        </w:tc>
      </w:tr>
      <w:tr>
        <w:tc>
          <w:tcPr>
            <w:tcW w:type="dxa" w:w="1500"/>
            <w:shd w:val="clear" w:color="auto" w:fill="FCE4D6"/>
          </w:tcPr>
          <w:p>
            <w:pPr>
              <w:spacing w:after="40" w:before="40"/>
            </w:pPr>
            <w:r/>
            <w:r>
              <w:rPr>
                <w:rFonts w:ascii="Times New Roman" w:hAnsi="Times New Roman" w:cs="Times New Roman"/>
                <w:b/>
                <w:i w:val="0"/>
                <w:color w:val="C45911"/>
                <w:sz w:val="22"/>
              </w:rPr>
              <w:t>[Trung bình]</w:t>
            </w:r>
          </w:p>
          <w:p>
            <w:pPr>
              <w:spacing w:after="40" w:before="0"/>
            </w:pPr>
            <w:r>
              <w:rPr>
                <w:rFonts w:ascii="Times New Roman" w:hAnsi="Times New Roman" w:cs="Times New Roman"/>
                <w:b/>
                <w:i w:val="0"/>
                <w:sz w:val="22"/>
              </w:rPr>
              <w:t xml:space="preserve">Chủ đề </w:t>
            </w:r>
            <w:r>
              <w:rPr>
                <w:rFonts w:ascii="Times New Roman" w:hAnsi="Times New Roman" w:cs="Times New Roman"/>
                <w:b w:val="0"/>
                <w:i w:val="0"/>
                <w:sz w:val="22"/>
              </w:rPr>
              <w:t>15</w:t>
            </w:r>
          </w:p>
          <w:p>
            <w:r>
              <w:rPr>
                <w:rFonts w:ascii="Times New Roman" w:hAnsi="Times New Roman" w:cs="Times New Roman"/>
                <w:b w:val="0"/>
                <w:i/>
                <w:sz w:val="20"/>
              </w:rPr>
              <w:t>Nghĩa vụ bảo mật 'vĩnh viễn'</w:t>
            </w:r>
          </w:p>
        </w:tc>
        <w:tc>
          <w:tcPr>
            <w:tcW w:type="dxa" w:w="4400"/>
          </w:tcPr>
          <w:p>
            <w:pPr>
              <w:spacing w:after="40" w:before="40"/>
            </w:pPr>
            <w:r/>
            <w:r>
              <w:rPr>
                <w:rFonts w:ascii="Times New Roman" w:hAnsi="Times New Roman" w:cs="Times New Roman"/>
                <w:b w:val="0"/>
                <w:i w:val="0"/>
                <w:sz w:val="22"/>
              </w:rPr>
              <w:t>Nghĩa vụ bảo mật vô thời hạn tạo rủi ro pháp lý kéo dài không cần thiết.</w:t>
            </w:r>
          </w:p>
          <w:p>
            <w:pPr>
              <w:spacing w:after="40" w:before="0"/>
            </w:pPr>
            <w:r>
              <w:rPr>
                <w:rFonts w:ascii="Times New Roman" w:hAnsi="Times New Roman" w:cs="Times New Roman"/>
                <w:b/>
                <w:i w:val="0"/>
                <w:sz w:val="20"/>
              </w:rPr>
              <w:t xml:space="preserve">Trích: </w:t>
            </w:r>
            <w:r>
              <w:rPr>
                <w:rFonts w:ascii="Times New Roman" w:hAnsi="Times New Roman" w:cs="Times New Roman"/>
                <w:b w:val="0"/>
                <w:i w:val="0"/>
                <w:sz w:val="20"/>
              </w:rPr>
              <w:t>“Bên B có nghĩa vụ bảo mật thông tin vĩnh viễn.”</w:t>
            </w:r>
          </w:p>
          <w:p>
            <w:pPr>
              <w:spacing w:after="40" w:before="0"/>
            </w:pPr>
            <w:r>
              <w:rPr>
                <w:rFonts w:ascii="Times New Roman" w:hAnsi="Times New Roman" w:cs="Times New Roman"/>
                <w:b/>
                <w:i w:val="0"/>
                <w:sz w:val="20"/>
              </w:rPr>
              <w:t xml:space="preserve">Căn cứ: </w:t>
            </w:r>
            <w:r>
              <w:rPr>
                <w:rFonts w:ascii="Times New Roman" w:hAnsi="Times New Roman" w:cs="Times New Roman"/>
                <w:b w:val="0"/>
                <w:i w:val="0"/>
                <w:sz w:val="20"/>
              </w:rPr>
              <w:t>Thông lệ: bảo mật có thời hạn hợp lý (vd 3 năm sau chấm dứt).</w:t>
            </w:r>
          </w:p>
        </w:tc>
        <w:tc>
          <w:tcPr>
            <w:tcW w:type="dxa" w:w="3126"/>
          </w:tcPr>
          <w:p>
            <w:pPr>
              <w:spacing w:after="40" w:before="40"/>
            </w:pPr>
            <w:r/>
            <w:r>
              <w:rPr>
                <w:rFonts w:ascii="Times New Roman" w:hAnsi="Times New Roman" w:cs="Times New Roman"/>
                <w:b w:val="0"/>
                <w:i w:val="0"/>
                <w:sz w:val="22"/>
              </w:rPr>
              <w:t>Đặt thời hạn bảo mật cụ thể (vd 3 năm sau khi chấm dứt hợp đồng); tránh 'vĩnh viễn'.</w:t>
            </w:r>
          </w:p>
        </w:tc>
      </w:tr>
      <w:tr>
        <w:tc>
          <w:tcPr>
            <w:tcW w:type="dxa" w:w="1500"/>
            <w:shd w:val="clear" w:color="auto" w:fill="FCE4D6"/>
          </w:tcPr>
          <w:p>
            <w:pPr>
              <w:spacing w:after="40" w:before="40"/>
            </w:pPr>
            <w:r/>
            <w:r>
              <w:rPr>
                <w:rFonts w:ascii="Times New Roman" w:hAnsi="Times New Roman" w:cs="Times New Roman"/>
                <w:b/>
                <w:i w:val="0"/>
                <w:color w:val="C45911"/>
                <w:sz w:val="22"/>
              </w:rPr>
              <w:t>[Trung bình]</w:t>
            </w:r>
          </w:p>
          <w:p>
            <w:pPr>
              <w:spacing w:after="40" w:before="0"/>
            </w:pPr>
            <w:r>
              <w:rPr>
                <w:rFonts w:ascii="Times New Roman" w:hAnsi="Times New Roman" w:cs="Times New Roman"/>
                <w:b/>
                <w:i w:val="0"/>
                <w:sz w:val="22"/>
              </w:rPr>
              <w:t xml:space="preserve">Chủ đề </w:t>
            </w:r>
            <w:r>
              <w:rPr>
                <w:rFonts w:ascii="Times New Roman" w:hAnsi="Times New Roman" w:cs="Times New Roman"/>
                <w:b w:val="0"/>
                <w:i w:val="0"/>
                <w:sz w:val="22"/>
              </w:rPr>
              <w:t>20</w:t>
            </w:r>
          </w:p>
          <w:p>
            <w:r>
              <w:rPr>
                <w:rFonts w:ascii="Times New Roman" w:hAnsi="Times New Roman" w:cs="Times New Roman"/>
                <w:b w:val="0"/>
                <w:i/>
                <w:sz w:val="20"/>
              </w:rPr>
              <w:t>Chuyển nhượng bất đối xứng (chỉ CĐT được chuyển)</w:t>
            </w:r>
          </w:p>
        </w:tc>
        <w:tc>
          <w:tcPr>
            <w:tcW w:type="dxa" w:w="4400"/>
          </w:tcPr>
          <w:p>
            <w:pPr>
              <w:spacing w:after="40" w:before="40"/>
            </w:pPr>
            <w:r/>
            <w:r>
              <w:rPr>
                <w:rFonts w:ascii="Times New Roman" w:hAnsi="Times New Roman" w:cs="Times New Roman"/>
                <w:b w:val="0"/>
                <w:i w:val="0"/>
                <w:sz w:val="22"/>
              </w:rPr>
              <w:t>(Phát hiện khi CÓ) — kiểm tra điều khoản chuyển nhượng có đối xứng không; thường CĐT được chuyển còn TVGS thì không.</w:t>
            </w:r>
          </w:p>
          <w:p>
            <w:pPr>
              <w:spacing w:after="40" w:before="0"/>
            </w:pPr>
            <w:r>
              <w:rPr>
                <w:rFonts w:ascii="Times New Roman" w:hAnsi="Times New Roman" w:cs="Times New Roman"/>
                <w:b/>
                <w:i w:val="0"/>
                <w:sz w:val="20"/>
              </w:rPr>
              <w:t xml:space="preserve">Trích: </w:t>
            </w:r>
            <w:r>
              <w:rPr>
                <w:rFonts w:ascii="Times New Roman" w:hAnsi="Times New Roman" w:cs="Times New Roman"/>
                <w:b w:val="0"/>
                <w:i w:val="0"/>
                <w:sz w:val="20"/>
              </w:rPr>
              <w:t>“The English version shall prevail. All copyright shall be assigned to the Employer.”</w:t>
            </w:r>
          </w:p>
          <w:p>
            <w:pPr>
              <w:spacing w:after="40" w:before="0"/>
            </w:pPr>
            <w:r>
              <w:rPr>
                <w:rFonts w:ascii="Times New Roman" w:hAnsi="Times New Roman" w:cs="Times New Roman"/>
                <w:b/>
                <w:i w:val="0"/>
                <w:sz w:val="20"/>
              </w:rPr>
              <w:t xml:space="preserve">Căn cứ: </w:t>
            </w:r>
            <w:r>
              <w:rPr>
                <w:rFonts w:ascii="Times New Roman" w:hAnsi="Times New Roman" w:cs="Times New Roman"/>
                <w:b w:val="0"/>
                <w:i w:val="0"/>
                <w:sz w:val="20"/>
              </w:rPr>
              <w:t>BLDS 2015 Điều 365 (chuyển giao quyền); thông lệ: bên nhận phải đủ năng lực.</w:t>
            </w:r>
          </w:p>
        </w:tc>
        <w:tc>
          <w:tcPr>
            <w:tcW w:type="dxa" w:w="3126"/>
          </w:tcPr>
          <w:p>
            <w:pPr>
              <w:spacing w:after="40" w:before="40"/>
            </w:pPr>
            <w:r/>
            <w:r>
              <w:rPr>
                <w:rFonts w:ascii="Times New Roman" w:hAnsi="Times New Roman" w:cs="Times New Roman"/>
                <w:b w:val="0"/>
                <w:i w:val="0"/>
                <w:sz w:val="22"/>
              </w:rPr>
              <w:t>Việc CĐT chuyển nhượng phải bảo đảm bên nhận đủ năng lực thanh toán và không làm giảm quyền lợi TVGS.</w:t>
            </w:r>
          </w:p>
        </w:tc>
      </w:tr>
      <w:tr>
        <w:tc>
          <w:tcPr>
            <w:tcW w:type="dxa" w:w="1500"/>
            <w:shd w:val="clear" w:color="auto" w:fill="FCE4D6"/>
          </w:tcPr>
          <w:p>
            <w:pPr>
              <w:spacing w:after="40" w:before="40"/>
            </w:pPr>
            <w:r/>
            <w:r>
              <w:rPr>
                <w:rFonts w:ascii="Times New Roman" w:hAnsi="Times New Roman" w:cs="Times New Roman"/>
                <w:b/>
                <w:i w:val="0"/>
                <w:color w:val="C45911"/>
                <w:sz w:val="22"/>
              </w:rPr>
              <w:t>[Trung bình]</w:t>
            </w:r>
          </w:p>
          <w:p>
            <w:pPr>
              <w:spacing w:after="40" w:before="0"/>
            </w:pPr>
            <w:r>
              <w:rPr>
                <w:rFonts w:ascii="Times New Roman" w:hAnsi="Times New Roman" w:cs="Times New Roman"/>
                <w:b/>
                <w:i w:val="0"/>
                <w:sz w:val="22"/>
              </w:rPr>
              <w:t xml:space="preserve">Chủ đề </w:t>
            </w:r>
            <w:r>
              <w:rPr>
                <w:rFonts w:ascii="Times New Roman" w:hAnsi="Times New Roman" w:cs="Times New Roman"/>
                <w:b w:val="0"/>
                <w:i w:val="0"/>
                <w:sz w:val="22"/>
              </w:rPr>
              <w:t>25</w:t>
            </w:r>
          </w:p>
          <w:p>
            <w:r>
              <w:rPr>
                <w:rFonts w:ascii="Times New Roman" w:hAnsi="Times New Roman" w:cs="Times New Roman"/>
                <w:b w:val="0"/>
                <w:i/>
                <w:sz w:val="20"/>
              </w:rPr>
              <w:t>Chuẩn 'best / utmost endeavours' (nỗ lực cao nhất)</w:t>
            </w:r>
          </w:p>
        </w:tc>
        <w:tc>
          <w:tcPr>
            <w:tcW w:type="dxa" w:w="4400"/>
          </w:tcPr>
          <w:p>
            <w:pPr>
              <w:spacing w:after="40" w:before="40"/>
            </w:pPr>
            <w:r/>
            <w:r>
              <w:rPr>
                <w:rFonts w:ascii="Times New Roman" w:hAnsi="Times New Roman" w:cs="Times New Roman"/>
                <w:b w:val="0"/>
                <w:i w:val="0"/>
                <w:sz w:val="22"/>
              </w:rPr>
              <w:t>'Best/utmost endeavours' là chuẩn thực hiện rất cao, dễ bị quy chưa làm hết sức.</w:t>
            </w:r>
          </w:p>
          <w:p>
            <w:pPr>
              <w:spacing w:after="40" w:before="0"/>
            </w:pPr>
            <w:r>
              <w:rPr>
                <w:rFonts w:ascii="Times New Roman" w:hAnsi="Times New Roman" w:cs="Times New Roman"/>
                <w:b/>
                <w:i w:val="0"/>
                <w:sz w:val="20"/>
              </w:rPr>
              <w:t xml:space="preserve">Trích: </w:t>
            </w:r>
            <w:r>
              <w:rPr>
                <w:rFonts w:ascii="Times New Roman" w:hAnsi="Times New Roman" w:cs="Times New Roman"/>
                <w:b w:val="0"/>
                <w:i w:val="0"/>
                <w:sz w:val="20"/>
              </w:rPr>
              <w:t>“The Consultant shall use best endeavours to perform the services. Time is of the essence.”</w:t>
            </w:r>
          </w:p>
          <w:p>
            <w:pPr>
              <w:spacing w:after="40" w:before="0"/>
            </w:pPr>
            <w:r>
              <w:rPr>
                <w:rFonts w:ascii="Times New Roman" w:hAnsi="Times New Roman" w:cs="Times New Roman"/>
                <w:b/>
                <w:i w:val="0"/>
                <w:sz w:val="20"/>
              </w:rPr>
              <w:t xml:space="preserve">Căn cứ: </w:t>
            </w:r>
            <w:r>
              <w:rPr>
                <w:rFonts w:ascii="Times New Roman" w:hAnsi="Times New Roman" w:cs="Times New Roman"/>
                <w:b w:val="0"/>
                <w:i w:val="0"/>
                <w:sz w:val="20"/>
              </w:rPr>
              <w:t>Thông lệ tư vấn: 'reasonable skill, care and diligence' (kỹ năng và sự cẩn trọng hợp lý).</w:t>
            </w:r>
          </w:p>
        </w:tc>
        <w:tc>
          <w:tcPr>
            <w:tcW w:type="dxa" w:w="3126"/>
          </w:tcPr>
          <w:p>
            <w:pPr>
              <w:spacing w:after="40" w:before="40"/>
            </w:pPr>
            <w:r/>
            <w:r>
              <w:rPr>
                <w:rFonts w:ascii="Times New Roman" w:hAnsi="Times New Roman" w:cs="Times New Roman"/>
                <w:b w:val="0"/>
                <w:i w:val="0"/>
                <w:sz w:val="22"/>
              </w:rPr>
              <w:t>Đề nghị đổi thành 'reasonable skill, care and diligence' theo chuẩn tư vấn thông thường.</w:t>
            </w:r>
          </w:p>
        </w:tc>
      </w:tr>
    </w:tbl>
    <w:p>
      <w:pPr>
        <w:spacing w:after="120" w:before="0"/>
      </w:pPr>
    </w:p>
    <w:p>
      <w:pPr>
        <w:spacing w:after="120" w:before="0"/>
      </w:pPr>
      <w:r>
        <w:rPr>
          <w:rFonts w:ascii="Times New Roman" w:hAnsi="Times New Roman" w:cs="Times New Roman"/>
          <w:b/>
          <w:i w:val="0"/>
          <w:color w:val="1F3764"/>
          <w:sz w:val="28"/>
        </w:rPr>
        <w:t>4. ĐỘ PHỦ 21 CHỦ ĐỀ CHUẨN (chủ đề THIẾU cũng là rủi ro)</w:t>
      </w:r>
    </w:p>
    <w:tbl>
      <w:tblPr>
        <w:tblStyle w:val="TableGrid"/>
        <w:tblW w:type="auto" w:w="0"/>
        <w:jc w:val="center"/>
        <w:tblLook w:firstColumn="1" w:firstRow="1" w:lastColumn="0" w:lastRow="0" w:noHBand="0" w:noVBand="1" w:val="04A0"/>
      </w:tblPr>
      <w:tblGrid>
        <w:gridCol w:w="3009"/>
        <w:gridCol w:w="3009"/>
        <w:gridCol w:w="3009"/>
      </w:tblGrid>
      <w:tr>
        <w:tc>
          <w:tcPr>
            <w:tcW w:type="dxa" w:w="800"/>
            <w:shd w:val="clear" w:color="auto" w:fill="1F3764"/>
          </w:tcPr>
          <w:p>
            <w:pPr>
              <w:spacing w:after="40" w:before="40"/>
            </w:pPr>
            <w:r/>
            <w:r>
              <w:rPr>
                <w:rFonts w:ascii="Times New Roman" w:hAnsi="Times New Roman" w:cs="Times New Roman"/>
                <w:b/>
                <w:i w:val="0"/>
                <w:color w:val="FFFFFF"/>
                <w:sz w:val="22"/>
              </w:rPr>
              <w:t>Mức</w:t>
            </w:r>
          </w:p>
        </w:tc>
        <w:tc>
          <w:tcPr>
            <w:tcW w:type="dxa" w:w="3200"/>
            <w:shd w:val="clear" w:color="auto" w:fill="1F3764"/>
          </w:tcPr>
          <w:p>
            <w:pPr>
              <w:spacing w:after="40" w:before="40"/>
            </w:pPr>
            <w:r/>
            <w:r>
              <w:rPr>
                <w:rFonts w:ascii="Times New Roman" w:hAnsi="Times New Roman" w:cs="Times New Roman"/>
                <w:b/>
                <w:i w:val="0"/>
                <w:color w:val="FFFFFF"/>
                <w:sz w:val="22"/>
              </w:rPr>
              <w:t>Chủ đề thiếu</w:t>
            </w:r>
          </w:p>
        </w:tc>
        <w:tc>
          <w:tcPr>
            <w:tcW w:type="dxa" w:w="5026"/>
            <w:shd w:val="clear" w:color="auto" w:fill="1F3764"/>
          </w:tcPr>
          <w:p>
            <w:pPr>
              <w:spacing w:after="40" w:before="40"/>
            </w:pPr>
            <w:r/>
            <w:r>
              <w:rPr>
                <w:rFonts w:ascii="Times New Roman" w:hAnsi="Times New Roman" w:cs="Times New Roman"/>
                <w:b/>
                <w:i w:val="0"/>
                <w:color w:val="FFFFFF"/>
                <w:sz w:val="22"/>
              </w:rPr>
              <w:t>Khuyến nghị</w:t>
            </w:r>
          </w:p>
        </w:tc>
      </w:tr>
      <w:tr>
        <w:tc>
          <w:tcPr>
            <w:tcW w:type="dxa" w:w="800"/>
            <w:shd w:val="clear" w:color="auto" w:fill="FCE4D6"/>
          </w:tcPr>
          <w:p>
            <w:pPr>
              <w:spacing w:after="40" w:before="40"/>
            </w:pPr>
            <w:r/>
            <w:r>
              <w:rPr>
                <w:rFonts w:ascii="Times New Roman" w:hAnsi="Times New Roman" w:cs="Times New Roman"/>
                <w:b/>
                <w:i w:val="0"/>
                <w:color w:val="C45911"/>
                <w:sz w:val="20"/>
              </w:rPr>
              <w:t>Trung bình</w:t>
            </w:r>
          </w:p>
        </w:tc>
        <w:tc>
          <w:tcPr>
            <w:tcW w:type="dxa" w:w="3200"/>
          </w:tcPr>
          <w:p>
            <w:pPr>
              <w:spacing w:after="40" w:before="40"/>
            </w:pPr>
            <w:r/>
            <w:r>
              <w:rPr>
                <w:rFonts w:ascii="Times New Roman" w:hAnsi="Times New Roman" w:cs="Times New Roman"/>
                <w:b w:val="0"/>
                <w:i w:val="0"/>
                <w:sz w:val="22"/>
              </w:rPr>
              <w:t>4. Chất lượng sản phẩm / tiêu chuẩn</w:t>
            </w:r>
          </w:p>
        </w:tc>
        <w:tc>
          <w:tcPr>
            <w:tcW w:type="dxa" w:w="5026"/>
          </w:tcPr>
          <w:p>
            <w:pPr>
              <w:spacing w:after="40" w:before="40"/>
            </w:pPr>
            <w:r/>
            <w:r>
              <w:rPr>
                <w:rFonts w:ascii="Times New Roman" w:hAnsi="Times New Roman" w:cs="Times New Roman"/>
                <w:b w:val="0"/>
                <w:i w:val="0"/>
                <w:sz w:val="22"/>
              </w:rPr>
              <w:t>Không nêu yêu cầu chất lượng/tiêu chuẩn sản phẩm tư vấn — khó xác định khi nào hoàn thành đạt yêu cầu.</w:t>
            </w:r>
          </w:p>
        </w:tc>
      </w:tr>
      <w:tr>
        <w:tc>
          <w:tcPr>
            <w:tcW w:type="dxa" w:w="800"/>
            <w:shd w:val="clear" w:color="auto" w:fill="FCE4D6"/>
          </w:tcPr>
          <w:p>
            <w:pPr>
              <w:spacing w:after="40" w:before="40"/>
            </w:pPr>
            <w:r/>
            <w:r>
              <w:rPr>
                <w:rFonts w:ascii="Times New Roman" w:hAnsi="Times New Roman" w:cs="Times New Roman"/>
                <w:b/>
                <w:i w:val="0"/>
                <w:color w:val="C45911"/>
                <w:sz w:val="20"/>
              </w:rPr>
              <w:t>Trung bình</w:t>
            </w:r>
          </w:p>
        </w:tc>
        <w:tc>
          <w:tcPr>
            <w:tcW w:type="dxa" w:w="3200"/>
          </w:tcPr>
          <w:p>
            <w:pPr>
              <w:spacing w:after="40" w:before="40"/>
            </w:pPr>
            <w:r/>
            <w:r>
              <w:rPr>
                <w:rFonts w:ascii="Times New Roman" w:hAnsi="Times New Roman" w:cs="Times New Roman"/>
                <w:b w:val="0"/>
                <w:i w:val="0"/>
                <w:sz w:val="22"/>
              </w:rPr>
              <w:t>7. Tạm ứng, thu hồi, giữ lại</w:t>
            </w:r>
          </w:p>
        </w:tc>
        <w:tc>
          <w:tcPr>
            <w:tcW w:type="dxa" w:w="5026"/>
          </w:tcPr>
          <w:p>
            <w:pPr>
              <w:spacing w:after="40" w:before="40"/>
            </w:pPr>
            <w:r/>
            <w:r>
              <w:rPr>
                <w:rFonts w:ascii="Times New Roman" w:hAnsi="Times New Roman" w:cs="Times New Roman"/>
                <w:b w:val="0"/>
                <w:i w:val="0"/>
                <w:sz w:val="22"/>
              </w:rPr>
              <w:t>Không có điều khoản tạm ứng/giữ lại — bất lợi dòng tiền cho TVGS (mẫu TT02 thường có tạm ứng).</w:t>
            </w:r>
          </w:p>
        </w:tc>
      </w:tr>
      <w:tr>
        <w:tc>
          <w:tcPr>
            <w:tcW w:type="dxa" w:w="800"/>
            <w:shd w:val="clear" w:color="auto" w:fill="E2EFDA"/>
          </w:tcPr>
          <w:p>
            <w:pPr>
              <w:spacing w:after="40" w:before="40"/>
            </w:pPr>
            <w:r/>
            <w:r>
              <w:rPr>
                <w:rFonts w:ascii="Times New Roman" w:hAnsi="Times New Roman" w:cs="Times New Roman"/>
                <w:b/>
                <w:i w:val="0"/>
                <w:color w:val="2E7D32"/>
                <w:sz w:val="20"/>
              </w:rPr>
              <w:t>Ổn / Có lợi</w:t>
            </w:r>
          </w:p>
        </w:tc>
        <w:tc>
          <w:tcPr>
            <w:tcW w:type="dxa" w:w="3200"/>
          </w:tcPr>
          <w:p>
            <w:pPr>
              <w:spacing w:after="40" w:before="40"/>
            </w:pPr>
            <w:r/>
            <w:r>
              <w:rPr>
                <w:rFonts w:ascii="Times New Roman" w:hAnsi="Times New Roman" w:cs="Times New Roman"/>
                <w:b w:val="0"/>
                <w:i w:val="0"/>
                <w:sz w:val="22"/>
              </w:rPr>
              <w:t>9. Bảo lãnh (thực hiện HĐ / hoàn trả tạm ứng)</w:t>
            </w:r>
          </w:p>
        </w:tc>
        <w:tc>
          <w:tcPr>
            <w:tcW w:type="dxa" w:w="5026"/>
          </w:tcPr>
          <w:p>
            <w:pPr>
              <w:spacing w:after="40" w:before="40"/>
            </w:pPr>
            <w:r/>
            <w:r>
              <w:rPr>
                <w:rFonts w:ascii="Times New Roman" w:hAnsi="Times New Roman" w:cs="Times New Roman"/>
                <w:b w:val="0"/>
                <w:i w:val="0"/>
                <w:sz w:val="22"/>
              </w:rPr>
              <w:t>Không yêu cầu bảo lãnh — thường có lợi cho TVGS (giảm chi phí), nhưng kiểm tra lại.</w:t>
            </w:r>
          </w:p>
        </w:tc>
      </w:tr>
      <w:tr>
        <w:tc>
          <w:tcPr>
            <w:tcW w:type="dxa" w:w="800"/>
            <w:shd w:val="clear" w:color="auto" w:fill="FCE4D6"/>
          </w:tcPr>
          <w:p>
            <w:pPr>
              <w:spacing w:after="40" w:before="40"/>
            </w:pPr>
            <w:r/>
            <w:r>
              <w:rPr>
                <w:rFonts w:ascii="Times New Roman" w:hAnsi="Times New Roman" w:cs="Times New Roman"/>
                <w:b/>
                <w:i w:val="0"/>
                <w:color w:val="C45911"/>
                <w:sz w:val="20"/>
              </w:rPr>
              <w:t>Trung bình</w:t>
            </w:r>
          </w:p>
        </w:tc>
        <w:tc>
          <w:tcPr>
            <w:tcW w:type="dxa" w:w="3200"/>
          </w:tcPr>
          <w:p>
            <w:pPr>
              <w:spacing w:after="40" w:before="40"/>
            </w:pPr>
            <w:r/>
            <w:r>
              <w:rPr>
                <w:rFonts w:ascii="Times New Roman" w:hAnsi="Times New Roman" w:cs="Times New Roman"/>
                <w:b w:val="0"/>
                <w:i w:val="0"/>
                <w:sz w:val="22"/>
              </w:rPr>
              <w:t>11. Nghĩa vụ &amp; trách nhiệm Bên B (TVGS)</w:t>
            </w:r>
          </w:p>
        </w:tc>
        <w:tc>
          <w:tcPr>
            <w:tcW w:type="dxa" w:w="5026"/>
          </w:tcPr>
          <w:p>
            <w:pPr>
              <w:spacing w:after="40" w:before="40"/>
            </w:pPr>
            <w:r/>
            <w:r>
              <w:rPr>
                <w:rFonts w:ascii="Times New Roman" w:hAnsi="Times New Roman" w:cs="Times New Roman"/>
                <w:b w:val="0"/>
                <w:i w:val="0"/>
                <w:sz w:val="22"/>
              </w:rPr>
              <w:t>Không tách rõ nghĩa vụ Bên B — khó khoanh vùng trách nhiệm.</w:t>
            </w:r>
          </w:p>
        </w:tc>
      </w:tr>
      <w:tr>
        <w:tc>
          <w:tcPr>
            <w:tcW w:type="dxa" w:w="800"/>
            <w:shd w:val="clear" w:color="auto" w:fill="F8CBAD"/>
          </w:tcPr>
          <w:p>
            <w:pPr>
              <w:spacing w:after="40" w:before="40"/>
            </w:pPr>
            <w:r/>
            <w:r>
              <w:rPr>
                <w:rFonts w:ascii="Times New Roman" w:hAnsi="Times New Roman" w:cs="Times New Roman"/>
                <w:b/>
                <w:i w:val="0"/>
                <w:color w:val="C00000"/>
                <w:sz w:val="20"/>
              </w:rPr>
              <w:t>Cao</w:t>
            </w:r>
          </w:p>
        </w:tc>
        <w:tc>
          <w:tcPr>
            <w:tcW w:type="dxa" w:w="3200"/>
          </w:tcPr>
          <w:p>
            <w:pPr>
              <w:spacing w:after="40" w:before="40"/>
            </w:pPr>
            <w:r/>
            <w:r>
              <w:rPr>
                <w:rFonts w:ascii="Times New Roman" w:hAnsi="Times New Roman" w:cs="Times New Roman"/>
                <w:b w:val="0"/>
                <w:i w:val="0"/>
                <w:sz w:val="22"/>
              </w:rPr>
              <w:t>12. Nghĩa vụ &amp; chế tài đối với CĐT (đối xứng)</w:t>
            </w:r>
          </w:p>
        </w:tc>
        <w:tc>
          <w:tcPr>
            <w:tcW w:type="dxa" w:w="5026"/>
          </w:tcPr>
          <w:p>
            <w:pPr>
              <w:spacing w:after="40" w:before="40"/>
            </w:pPr>
            <w:r/>
            <w:r>
              <w:rPr>
                <w:rFonts w:ascii="Times New Roman" w:hAnsi="Times New Roman" w:cs="Times New Roman"/>
                <w:b w:val="0"/>
                <w:i w:val="0"/>
                <w:sz w:val="22"/>
              </w:rPr>
              <w:t>Không thấy nghĩa vụ/chế tài đối với CĐT — mất đối xứng, TVGS không có công cụ khi CĐT chậm tài liệu/mặt bằng/thanh toán.</w:t>
            </w:r>
          </w:p>
        </w:tc>
      </w:tr>
      <w:tr>
        <w:tc>
          <w:tcPr>
            <w:tcW w:type="dxa" w:w="800"/>
            <w:shd w:val="clear" w:color="auto" w:fill="E2EFDA"/>
          </w:tcPr>
          <w:p>
            <w:pPr>
              <w:spacing w:after="40" w:before="40"/>
            </w:pPr>
            <w:r/>
            <w:r>
              <w:rPr>
                <w:rFonts w:ascii="Times New Roman" w:hAnsi="Times New Roman" w:cs="Times New Roman"/>
                <w:b/>
                <w:i w:val="0"/>
                <w:color w:val="2E7D32"/>
                <w:sz w:val="20"/>
              </w:rPr>
              <w:t>Ổn / Có lợi</w:t>
            </w:r>
          </w:p>
        </w:tc>
        <w:tc>
          <w:tcPr>
            <w:tcW w:type="dxa" w:w="3200"/>
          </w:tcPr>
          <w:p>
            <w:pPr>
              <w:spacing w:after="40" w:before="40"/>
            </w:pPr>
            <w:r/>
            <w:r>
              <w:rPr>
                <w:rFonts w:ascii="Times New Roman" w:hAnsi="Times New Roman" w:cs="Times New Roman"/>
                <w:b w:val="0"/>
                <w:i w:val="0"/>
                <w:sz w:val="22"/>
              </w:rPr>
              <w:t>17. Liêm chính / chống hối lộ</w:t>
            </w:r>
          </w:p>
        </w:tc>
        <w:tc>
          <w:tcPr>
            <w:tcW w:type="dxa" w:w="5026"/>
          </w:tcPr>
          <w:p>
            <w:pPr>
              <w:spacing w:after="40" w:before="40"/>
            </w:pPr>
            <w:r/>
            <w:r>
              <w:rPr>
                <w:rFonts w:ascii="Times New Roman" w:hAnsi="Times New Roman" w:cs="Times New Roman"/>
                <w:b w:val="0"/>
                <w:i w:val="0"/>
                <w:sz w:val="22"/>
              </w:rPr>
              <w:t>Không có điều khoản liêm chính — bình thường; nếu có phụ lục quy chế thì phải đọc kỹ.</w:t>
            </w:r>
          </w:p>
        </w:tc>
      </w:tr>
      <w:tr>
        <w:tc>
          <w:tcPr>
            <w:tcW w:type="dxa" w:w="800"/>
            <w:shd w:val="clear" w:color="auto" w:fill="FCE4D6"/>
          </w:tcPr>
          <w:p>
            <w:pPr>
              <w:spacing w:after="40" w:before="40"/>
            </w:pPr>
            <w:r/>
            <w:r>
              <w:rPr>
                <w:rFonts w:ascii="Times New Roman" w:hAnsi="Times New Roman" w:cs="Times New Roman"/>
                <w:b/>
                <w:i w:val="0"/>
                <w:color w:val="C45911"/>
                <w:sz w:val="20"/>
              </w:rPr>
              <w:t>Trung bình</w:t>
            </w:r>
          </w:p>
        </w:tc>
        <w:tc>
          <w:tcPr>
            <w:tcW w:type="dxa" w:w="3200"/>
          </w:tcPr>
          <w:p>
            <w:pPr>
              <w:spacing w:after="40" w:before="40"/>
            </w:pPr>
            <w:r/>
            <w:r>
              <w:rPr>
                <w:rFonts w:ascii="Times New Roman" w:hAnsi="Times New Roman" w:cs="Times New Roman"/>
                <w:b w:val="0"/>
                <w:i w:val="0"/>
                <w:sz w:val="22"/>
              </w:rPr>
              <w:t>19. Bất khả kháng</w:t>
            </w:r>
          </w:p>
        </w:tc>
        <w:tc>
          <w:tcPr>
            <w:tcW w:type="dxa" w:w="5026"/>
          </w:tcPr>
          <w:p>
            <w:pPr>
              <w:spacing w:after="40" w:before="40"/>
            </w:pPr>
            <w:r/>
            <w:r>
              <w:rPr>
                <w:rFonts w:ascii="Times New Roman" w:hAnsi="Times New Roman" w:cs="Times New Roman"/>
                <w:b w:val="0"/>
                <w:i w:val="0"/>
                <w:sz w:val="22"/>
              </w:rPr>
              <w:t>Không có điều khoản bất khả kháng — rủi ro khi xảy ra sự kiện ngoài tầm kiểm soát.</w:t>
            </w:r>
          </w:p>
        </w:tc>
      </w:tr>
      <w:tr>
        <w:tc>
          <w:tcPr>
            <w:tcW w:type="dxa" w:w="800"/>
            <w:shd w:val="clear" w:color="auto" w:fill="E2EFDA"/>
          </w:tcPr>
          <w:p>
            <w:pPr>
              <w:spacing w:after="40" w:before="40"/>
            </w:pPr>
            <w:r/>
            <w:r>
              <w:rPr>
                <w:rFonts w:ascii="Times New Roman" w:hAnsi="Times New Roman" w:cs="Times New Roman"/>
                <w:b/>
                <w:i w:val="0"/>
                <w:color w:val="2E7D32"/>
                <w:sz w:val="20"/>
              </w:rPr>
              <w:t>Ổn / Có lợi</w:t>
            </w:r>
          </w:p>
        </w:tc>
        <w:tc>
          <w:tcPr>
            <w:tcW w:type="dxa" w:w="3200"/>
          </w:tcPr>
          <w:p>
            <w:pPr>
              <w:spacing w:after="40" w:before="40"/>
            </w:pPr>
            <w:r/>
            <w:r>
              <w:rPr>
                <w:rFonts w:ascii="Times New Roman" w:hAnsi="Times New Roman" w:cs="Times New Roman"/>
                <w:b w:val="0"/>
                <w:i w:val="0"/>
                <w:sz w:val="22"/>
              </w:rPr>
              <w:t>20. Chuyển nhượng</w:t>
            </w:r>
          </w:p>
        </w:tc>
        <w:tc>
          <w:tcPr>
            <w:tcW w:type="dxa" w:w="5026"/>
          </w:tcPr>
          <w:p>
            <w:pPr>
              <w:spacing w:after="40" w:before="40"/>
            </w:pPr>
            <w:r/>
            <w:r>
              <w:rPr>
                <w:rFonts w:ascii="Times New Roman" w:hAnsi="Times New Roman" w:cs="Times New Roman"/>
                <w:b w:val="0"/>
                <w:i w:val="0"/>
                <w:sz w:val="22"/>
              </w:rPr>
              <w:t>Không có điều khoản chuyển nhượng — thường ổn; kiểm tra nếu CĐT là pháp nhân dự án (SPV).</w:t>
            </w:r>
          </w:p>
        </w:tc>
      </w:tr>
      <w:tr>
        <w:tc>
          <w:tcPr>
            <w:tcW w:type="dxa" w:w="800"/>
            <w:shd w:val="clear" w:color="auto" w:fill="F8CBAD"/>
          </w:tcPr>
          <w:p>
            <w:pPr>
              <w:spacing w:after="40" w:before="40"/>
            </w:pPr>
            <w:r/>
            <w:r>
              <w:rPr>
                <w:rFonts w:ascii="Times New Roman" w:hAnsi="Times New Roman" w:cs="Times New Roman"/>
                <w:b/>
                <w:i w:val="0"/>
                <w:color w:val="C00000"/>
                <w:sz w:val="20"/>
              </w:rPr>
              <w:t>Cao</w:t>
            </w:r>
          </w:p>
        </w:tc>
        <w:tc>
          <w:tcPr>
            <w:tcW w:type="dxa" w:w="3200"/>
          </w:tcPr>
          <w:p>
            <w:pPr>
              <w:spacing w:after="40" w:before="40"/>
            </w:pPr>
            <w:r/>
            <w:r>
              <w:rPr>
                <w:rFonts w:ascii="Times New Roman" w:hAnsi="Times New Roman" w:cs="Times New Roman"/>
                <w:b w:val="0"/>
                <w:i w:val="0"/>
                <w:sz w:val="22"/>
              </w:rPr>
              <w:t>21. Luật áp dụng, tranh chấp, ngôn ngữ</w:t>
            </w:r>
          </w:p>
        </w:tc>
        <w:tc>
          <w:tcPr>
            <w:tcW w:type="dxa" w:w="5026"/>
          </w:tcPr>
          <w:p>
            <w:pPr>
              <w:spacing w:after="40" w:before="40"/>
            </w:pPr>
            <w:r/>
            <w:r>
              <w:rPr>
                <w:rFonts w:ascii="Times New Roman" w:hAnsi="Times New Roman" w:cs="Times New Roman"/>
                <w:b w:val="0"/>
                <w:i w:val="0"/>
                <w:sz w:val="22"/>
              </w:rPr>
              <w:t>Không quy định luật áp dụng/giải quyết tranh chấp/ngôn ngữ — đặc biệt rủi ro với hợp đồng FDI/song ngữ.</w:t>
            </w:r>
          </w:p>
        </w:tc>
      </w:tr>
    </w:tbl>
    <w:p>
      <w:pPr>
        <w:spacing w:after="120" w:before="0"/>
      </w:pPr>
    </w:p>
    <w:p>
      <w:pPr>
        <w:spacing w:after="120" w:before="0"/>
      </w:pPr>
      <w:r>
        <w:rPr>
          <w:rFonts w:ascii="Times New Roman" w:hAnsi="Times New Roman" w:cs="Times New Roman"/>
          <w:b/>
          <w:i w:val="0"/>
          <w:color w:val="1F3764"/>
          <w:sz w:val="28"/>
        </w:rPr>
        <w:t>6. LƯU Ý SỬ DỤNG</w:t>
      </w:r>
    </w:p>
    <w:p>
      <w:pPr>
        <w:spacing w:after="80" w:before="0"/>
      </w:pPr>
      <w:r>
        <w:rPr>
          <w:rFonts w:ascii="Times New Roman" w:hAnsi="Times New Roman" w:cs="Times New Roman"/>
          <w:b w:val="0"/>
          <w:i w:val="0"/>
          <w:sz w:val="22"/>
        </w:rPr>
        <w:t>Báo cáo do công cụ tự động lập theo bộ tiêu chí rà soát hợp đồng TVGS của TEXO, không sử dụng AI. Công cụ phát hiện theo MẪU CÂU và TỪ KHÓA nên có thể bỏ sót cách diễn đạt lạ hoặc báo nhầm khi câu chữ trùng từ khóa. Hãy coi đây là bước sàng lọc đầu tiên; quyết định đàm phán/ký kết phải dựa trên rà soát của người có chuyên môn trên bản gốc.</w:t>
      </w:r>
    </w:p>
    <w:sectPr w:rsidR="00FC693F" w:rsidRPr="0006063C" w:rsidSect="00034616">
      <w:pgSz w:w="11906" w:h="16838"/>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