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CƯƠNG TƯ VẤN GIÁM SÁT</w:t>
      </w:r>
    </w:p>
    <w:p>
      <w:r>
        <w:t>Căn cứ Luật Xây dựng số 50/2014/QH13 ngày 18/06/2014; Luật số 62/2020/QH14 ngày 17/06/2020 sửa đổi, bổ sung một số điều của Luật Xây dựng;</w:t>
      </w:r>
    </w:p>
    <w:p>
      <w:r>
        <w:t>Căn cứ Nghị định số 175/2024/NĐ-CP ngày 30/12/2024 của Chính phủ quy định chi tiết một số điều của Luật Xây dựng;</w:t>
      </w:r>
    </w:p>
    <w:p>
      <w:r>
        <w:t>Căn cứ Thông tư số 10/2021/TT-BXD ngày 25/08/2021 của Bộ Xây dựng hướng dẫn một số điều;</w:t>
      </w:r>
    </w:p>
    <w:p>
      <w:r>
        <w:t>Theo NĐ 06/2021 và Bộ luật Dân sự 2015.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Tiêu chuẩn áp dụng</w:t>
            </w:r>
          </w:p>
        </w:tc>
      </w:tr>
      <w:tr>
        <w:tc>
          <w:tcPr>
            <w:tcW w:type="dxa" w:w="4320"/>
          </w:tcPr>
          <w:p>
            <w:r>
              <w:t>Bê tông</w:t>
            </w:r>
          </w:p>
        </w:tc>
        <w:tc>
          <w:tcPr>
            <w:tcW w:type="dxa" w:w="4320"/>
          </w:tcPr>
          <w:p>
            <w:r>
              <w:t>TCVN 4453:1995; TCVN 5574:2018</w:t>
            </w:r>
          </w:p>
        </w:tc>
      </w:tr>
      <w:tr>
        <w:tc>
          <w:tcPr>
            <w:tcW w:type="dxa" w:w="4320"/>
          </w:tcPr>
          <w:p>
            <w:r>
              <w:t>Cọc</w:t>
            </w:r>
          </w:p>
        </w:tc>
        <w:tc>
          <w:tcPr>
            <w:tcW w:type="dxa" w:w="4320"/>
          </w:tcPr>
          <w:p>
            <w:r>
              <w:t>TCVN 9394:2012, TCVN 10304:2014, ASTM D1143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Căn cứ Nghị định số 06/2021/NĐ-CP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