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CodebookTitle"/>
      </w:pPr>
      <w:r>
        <w:t>MAB Dissertation</w:t>
      </w:r>
    </w:p>
    <w:p>
      <w:pPr>
        <w:pStyle w:val="FolderName"/>
      </w:pPr>
      <w:r>
        <w:t>Codes</w:t>
      </w:r>
    </w:p>
    <w:p>
      <w:pPr>
        <w:pStyle w:val="FolderDescription"/>
      </w:pPr>
      <w:r>
        <w:t/>
      </w:r>
    </w:p>
    <w:tbl>
      <w:tblPr>
        <w:tblStyle w:val="NodesTable"/>
        <w:tblW w:w="5000" w:type="pct"/>
        <w:tblLook w:firstRow="true" w:lastRow="false" w:firstColumn="false" w:lastColumn="false" w:noHBand="false" w:noVBand="true"/>
      </w:tblPr>
      <w:tblGrid>
        <w:gridCol w:w="3888"/>
        <w:gridCol w:w="9072"/>
      </w:tblGrid>
      <w:tr>
        <w:trPr>
          <w:tblHeader/>
        </w:trPr>
        <w:tc>
          <w:tcPr>
            <w:tcW w:w="1500" w:type="pct"/>
            <w:shd w:val="clear" w:color="auto" w:fill="4472C4"/>
          </w:tcPr>
          <w:p>
            <w:pPr>
              <w:pStyle w:val="NodesTableHeader"/>
            </w:pPr>
            <w:r>
              <w:t>Name</w:t>
            </w:r>
          </w:p>
        </w:tc>
        <w:tc>
          <w:tcPr>
            <w:tcW w:w="3500" w:type="pct"/>
            <w:shd w:val="clear" w:color="auto" w:fill="4472C4"/>
          </w:tcPr>
          <w:p>
            <w:pPr>
              <w:pStyle w:val="NodesTableHeader"/>
            </w:pPr>
            <w:r>
              <w:t>Description</w:t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Accountability Allocation</w:t>
            </w:r>
          </w:p>
        </w:tc>
        <w:tc>
          <w:tcPr>
            <w:tcW w:w="3500" w:type="pct"/>
          </w:tcPr>
          <w:p>
            <w:r>
              <w:t>Views on who should bear the legal and professional responsibility when an AI system makes an error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Data Manager Responsibility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Human User Liability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Institutional Accountability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Legal Head Responsibility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Vendor Responsibility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Challenges &amp; Risks</w:t>
            </w:r>
          </w:p>
        </w:tc>
        <w:tc>
          <w:tcPr>
            <w:tcW w:w="3500" w:type="pct"/>
          </w:tcPr>
          <w:p>
            <w:r>
              <w:t>Concerns regarding the negative impacts, technical flaws, or ethical risks of using AI in legal work.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Bias &amp; Fairness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Cost-Infrastructure Barrier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Data Confidentiality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Hallucination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IP - Copyright Risk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Overreliance on AI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Resistance Mindset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Governance &amp; Controls</w:t>
            </w:r>
          </w:p>
        </w:tc>
        <w:tc>
          <w:tcPr>
            <w:tcW w:w="3500" w:type="pct"/>
          </w:tcPr>
          <w:p>
            <w:r>
              <w:t>The internal mechanisms, rules, and structures banks use to manage and control AI deployment safely.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AI Committees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Audit Trail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Data Governance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Internal AI Policies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Testing &amp; Approval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Perceived Benefits &amp; Drivers</w:t>
            </w:r>
          </w:p>
        </w:tc>
        <w:tc>
          <w:tcPr>
            <w:tcW w:w="3500" w:type="pct"/>
          </w:tcPr>
          <w:p>
            <w:r>
              <w:t>Expressions of how AI improves legal work performance and the factors motivating banks to adopt it.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Cost Reduction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Efficiency &amp; Speed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Strategic Push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Role Transformation</w:t>
            </w:r>
          </w:p>
        </w:tc>
        <w:tc>
          <w:tcPr>
            <w:tcW w:w="3500" w:type="pct"/>
          </w:tcPr>
          <w:p>
            <w:r>
              <w:t>How the responsibilities and required skills of in-house legal counsel change due to AI adoption.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Job Reduction - Substitution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Skill Upgrading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Strategic Advisor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Technology Supervisor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Trust &amp; Explainability</w:t>
            </w:r>
          </w:p>
        </w:tc>
        <w:tc>
          <w:tcPr>
            <w:tcW w:w="3500" w:type="pct"/>
          </w:tcPr>
          <w:p>
            <w:r>
              <w:t>The degree of confidence users have in AI and the need to understand how the system reaches its conclusions.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Explainability (XAI)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Human-in-the-loop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Trust Levels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0"/>
            </w:pPr>
            <w:r>
              <w:t>Vietnamese Banking Context</w:t>
            </w:r>
          </w:p>
        </w:tc>
        <w:tc>
          <w:tcPr>
            <w:tcW w:w="3500" w:type="pct"/>
          </w:tcPr>
          <w:p>
            <w:r>
              <w:t>Specific local factors affecting AI adoption, including Vietnamese laws, culture, and market conditions.</w:t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Cautious Culture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Data Fragmentation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Language - Localisation Barrier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Regulatory Landscape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  <w:tr>
        <w:tc>
          <w:tcPr>
            <w:tcW w:w="1500" w:type="pct"/>
          </w:tcPr>
          <w:p>
            <w:pPr>
              <w:ind w:left="450"/>
            </w:pPr>
            <w:r>
              <w:t>Uneven Readiness Across Banks</w:t>
            </w:r>
          </w:p>
        </w:tc>
        <w:tc>
          <w:tcPr>
            <w:tcW w:w="3500" w:type="pct"/>
          </w:tcPr>
          <w:p>
            <w:r>
              <w:t/>
            </w:r>
          </w:p>
        </w:tc>
      </w:tr>
    </w:tbl>
    <w:sectPr>
      <w:pgSz w:w="15840" w:h="12240" w:orient="landscape" w:code="1"/>
      <w:pgMar w:top="1440" w:right="1440" w:bottom="1440" w:left="1440"/>
      <w:footerReference w:type="default" r:id="Rf8513d944c8a411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.xml><?xml version="1.0" encoding="utf-8"?>
<w:ftr xmlns:w="http://schemas.openxmlformats.org/wordprocessingml/2006/main">
  <w:p>
    <w:pPr>
      <w:pStyle w:val="Footer"/>
    </w:pPr>
    <w:r>
      <w:ptab w:alignment="left" w:relativeTo="margin" w:leader="none"/>
      <w:t xml:space="preserve">4/29/2026</w:t>
    </w:r>
    <w:r>
      <w:ptab w:alignment="right" w:relativeTo="margin" w:leader="none"/>
      <w:t xml:space="preserve">Page </w:t>
      <w:fldChar w:fldCharType="begin"/>
      <w:instrText xml:space="preserve"> PAGE </w:instrText>
      <w:fldChar w:fldCharType="end"/>
      <w:t xml:space="preserve"> of </w:t>
      <w:fldChar w:fldCharType="begin"/>
      <w:instrText xml:space="preserve"> NUMPAGES </w:instrTex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482"/>
    <w:rsid w:val="00396A39"/>
    <w:rsid w:val="005754D0"/>
    <w:rsid w:val="00A47467"/>
    <w:rsid w:val="00B34482"/>
    <w:rsid w:val="00B70289"/>
    <w:rsid w:val="00C0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hAnsi="Times New Roman" w:cs="Times New Roman" w:asciiTheme="minorHAnsi" w:eastAsiaTheme="minorEastAsia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odebookTitle" w:customStyle="true">
    <w:name w:val="Codebook Title"/>
    <w:pPr>
      <w:jc w:val="center"/>
    </w:pPr>
    <w:rPr>
      <w:rFonts w:asciiTheme="majorHAnsi" w:hAnsiTheme="majorHAnsi" w:eastAsiaTheme="majorEastAsia" w:cstheme="majorBidi"/>
      <w:color w:val="5B9BD5"/>
      <w:sz w:val="48"/>
      <w:szCs w:val="48"/>
    </w:rPr>
  </w:style>
  <w:style w:type="paragraph" w:styleId="FolderName">
    <w:name w:val="Folder Name"/>
    <w:basedOn w:val="Heading1"/>
    <w:next w:val="FolderDescription"/>
    <w:qFormat/>
    <w:pPr>
      <w:keepNext/>
      <w:keepLines/>
      <w:outlineLvl w:val="0"/>
      <w:spacing w:before="240" w:after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FolderDescription">
    <w:name w:val="Folder Description"/>
    <w:basedOn w:val="Normal"/>
    <w:qFormat/>
    <w:pPr>
      <w:keepNext/>
      <w:keepLines/>
    </w:pPr>
    <w:rPr>
      <w:rFonts w:asciiTheme="majorHAnsi" w:hAnsiTheme="majorHAnsi" w:eastAsiaTheme="majorEastAsia" w:cstheme="majorBidi"/>
    </w:rPr>
  </w:style>
  <w:style w:type="paragraph" w:styleId="NodesTableHeader" w:customStyle="true">
    <w:name w:val="Table Header"/>
    <w:rPr>
      <w:rFonts w:asciiTheme="majorHAnsi" w:hAnsiTheme="majorHAnsi" w:eastAsiaTheme="majorEastAsia" w:cstheme="majorBidi"/>
      <w:color w:val="FFFFFF"/>
    </w:rPr>
  </w:style>
  <w:style w:type="paragraph" w:styleId="RightAlign" w:customStyle="true">
    <w:name w:val="Right Align"/>
    <w:basedOn w:val="Normal"/>
    <w:pPr>
      <w:jc w:val="right"/>
    </w:pPr>
  </w:style>
  <w:style w:type="table" w:styleId="NodesTable" w:customStyle="true">
    <w:name w:val="Nodes Table"/>
    <w:tblPr>
      <w:tblStyleRow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108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nil"/>
          <w:bottom w:val="nil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B4C6E7"/>
      </w:tcPr>
    </w:tblStylePr>
    <w:tblStylePr w:type="band2Horz">
      <w:tblPr/>
      <w:tcPr>
        <w:shd w:val="clear" w:color="auto" w:fill="D9E2F3"/>
      </w:tcPr>
    </w:tblStylePr>
  </w:style>
  <w:style w:type="paragraph" w:styleId="Footer" w:customStyle="true">
    <w:name w:val="Footer"/>
    <w:basedOn w:val="Normal"/>
    <w:rPr>
      <w:rFonts w:asciiTheme="majorHAnsi" w:hAnsiTheme="majorHAnsi" w:eastAsiaTheme="majorEastAsia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/word/footer.xml" Id="Rf8513d944c8a41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ap="http://schemas.openxmlformats.org/officeDocument/2006/extended-properti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1</revision>
  <dcterms:created xsi:type="dcterms:W3CDTF">2026-04-29T09:59:39.5711822Z</dcterms:created>
  <dcterms:modified xsi:type="dcterms:W3CDTF">2026-04-29T09:59:39.5711822Z</dcterms:modified>
</coreProperties>
</file>