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HỢP ĐỒNG PHÂN PHỐI SỐ HD-2026-003</w:t>
      </w:r>
    </w:p>
    <w:p>
      <w:pPr>
        <w:pStyle w:val="Heading2"/>
      </w:pPr>
      <w:r>
        <w:t>Bên A (Bên bán/Nhà phân phối)</w:t>
      </w:r>
    </w:p>
    <w:p>
      <w:r>
        <w:t>Công ty Cổ phần Phân phối Thiết bị Văn phòng Đông Á (Đông Á Distribution JSC)</w:t>
        <w:br/>
        <w:t>Địa chỉ: Tầng 5, Tòa nhà Sentinel, 41 Nguyễn Thị Minh Khai, Q.1, TP.HCM</w:t>
        <w:br/>
        <w:t>Mã số thuế: 0312xxxxxx</w:t>
      </w:r>
    </w:p>
    <w:p>
      <w:pPr>
        <w:pStyle w:val="Heading2"/>
      </w:pPr>
      <w:r>
        <w:t>Bên B (Bên mua/Đại lý)</w:t>
      </w:r>
    </w:p>
    <w:p>
      <w:r>
        <w:t>Công ty TNHH Thương mại Kim Long</w:t>
        <w:br/>
        <w:t>Phạm vi hợp tác: đại lý cấp 1 khu vực miền Bắc.</w:t>
      </w:r>
    </w:p>
    <w:p>
      <w:pPr>
        <w:pStyle w:val="Heading2"/>
      </w:pPr>
      <w:r>
        <w:t>Điều 1: Đối tượng hợp đồng</w:t>
      </w:r>
    </w:p>
    <w:p>
      <w:r>
        <w:t>Bên A đồng ý phân phối các sản phẩm máy chiếu, màn chiếu và phụ kiện trình chiếu chính hãng Epson cho Bên B theo các đơn đặt hàng và báo giá được hai bên xác nhận.</w:t>
      </w:r>
    </w:p>
    <w:p>
      <w:pPr>
        <w:pStyle w:val="Heading2"/>
      </w:pPr>
      <w:r>
        <w:t>Điều 2: Điều khoản thanh toán</w:t>
      </w:r>
    </w:p>
    <w:p>
      <w:r>
        <w:t>Áp dụng theo POL-001 — Điều khoản thanh toán chuẩn của Bên A: đặt cọc 30%, thanh toán phần còn lại trong 30 ngày (net 30), hoặc trả chậm tối đa 45 ngày đối với đại lý cấp 1 có hạn mức tín dụng phù hợp.</w:t>
      </w:r>
    </w:p>
    <w:p>
      <w:pPr>
        <w:pStyle w:val="Heading2"/>
      </w:pPr>
      <w:r>
        <w:t>Điều 3: Chính sách bảo hành</w:t>
      </w:r>
    </w:p>
    <w:p>
      <w:r>
        <w:t>Toàn bộ sản phẩm máy chiếu Epson cung cấp theo hợp đồng này được bảo hành 24 tháng kể từ ngày mua theo POL-003 — Chính sách bảo hành, với điều kiện còn nguyên tem bảo hành. Các trường hợp từ chối bảo hành áp dụng theo POL-007.</w:t>
      </w:r>
    </w:p>
    <w:p>
      <w:pPr>
        <w:pStyle w:val="Heading2"/>
      </w:pPr>
      <w:r>
        <w:t>Điều 4: Giao nhận hàng</w:t>
      </w:r>
    </w:p>
    <w:p>
      <w:r>
        <w:t>Theo POL-002 — Chính sách giao hàng và vận chuyển. Bên B có trách nhiệm kiểm tra hàng khi nhận và báo cáo hư hỏng trong 24 giờ.</w:t>
      </w:r>
    </w:p>
    <w:p>
      <w:pPr>
        <w:pStyle w:val="Heading2"/>
      </w:pPr>
      <w:r>
        <w:t>Điều 5: Thời hạn hợp đồng</w:t>
      </w:r>
    </w:p>
    <w:p>
      <w:r>
        <w:t>Hợp đồng có hiệu lực 24 tháng kể từ ngày ký, tự động gia hạn thêm 12 tháng nếu không có văn bản chấm dứt từ một trong hai bên trước 30 ngày.</w:t>
      </w:r>
    </w:p>
    <w:p>
      <w:pPr>
        <w:pStyle w:val="Heading2"/>
      </w:pPr>
      <w:r>
        <w:t>Điều 6: Điều khoản chung</w:t>
      </w:r>
    </w:p>
    <w:p>
      <w:r>
        <w:t>Mọi tranh chấp phát sinh được giải quyết trên tinh thần thương lượng; nếu không đạt được thỏa thuận, đưa ra Tòa án có thẩm quyền tại TP.HCM.</w:t>
      </w:r>
    </w:p>
    <w:p>
      <w:r>
        <w:t>Hợp đồng được lập thành 02 bản, mỗi bên giữ 01 bản, có giá trị pháp lý như nhau.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