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petdb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petdb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TheLoai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maloai int identity primary key,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tenloai nvarchar(30)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Pet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mapet int identity(1,1)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maloai int references TheLoai(maloai),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tenpet nvarchar(100)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hinhpet varchar(50),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giaban decimal(18,0),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ngaycapnhat smalldatetime,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trongluong decimal (10,0),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soluongtong int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create table KhachHang(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makh int identity(1,1) primary key,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hoten nvarchar(50),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tendangnhap varchar(20),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matkhau varchar(10),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email varchar(50),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diachi nvarchar(100),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dienthoai varchar(15),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ngaysinh date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DonHang(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madon int identity(1,1)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thanhtoan bit,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giaohang bit,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ngaydat date,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ngaygiao date,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makh int references KhachHang(makh)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ChiTietDonHang(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madon int references DonHang(madon),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mapet int references Pet(mapet),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soluong int,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gia decimal(18,0),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primary key(madon,mapet)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