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8C6A1F"/>
          <w:sz w:val="24"/>
        </w:rPr>
        <w:t>CULTURAL LEARNING SYSTEM</w:t>
      </w:r>
    </w:p>
    <w:p>
      <w:pPr>
        <w:spacing w:after="40"/>
        <w:jc w:val="center"/>
      </w:pPr>
      <w:r>
        <w:rPr>
          <w:b/>
          <w:color w:val="6B2030"/>
          <w:sz w:val="48"/>
        </w:rPr>
        <w:t>FINAL PROJECT REPORT</w:t>
      </w:r>
    </w:p>
    <w:p>
      <w:pPr>
        <w:spacing w:after="280"/>
        <w:jc w:val="center"/>
      </w:pPr>
      <w:r>
        <w:rPr>
          <w:i/>
          <w:color w:val="555555"/>
          <w:sz w:val="24"/>
        </w:rPr>
        <w:t>Taiwan–India Cultural Exchange Internship · 2025</w:t>
      </w:r>
    </w:p>
    <w:tbl>
      <w:tblPr>
        <w:tblW w:type="auto" w:w="0"/>
        <w:jc w:val="center"/>
        <w:tblLook w:firstColumn="1" w:firstRow="1" w:lastColumn="0" w:lastRow="0" w:noHBand="0" w:noVBand="1" w:val="04A0"/>
      </w:tblPr>
      <w:tblGrid>
        <w:gridCol w:w="9360"/>
      </w:tblGrid>
      <w:tr>
        <w:tc>
          <w:tcPr>
            <w:tcW w:type="dxa" w:w="9360"/>
            <w:shd w:fill="FBF8F3"/>
            <w:tcMar>
              <w:top w:w="140" w:type="dxa"/>
              <w:bottom w:w="140" w:type="dxa"/>
              <w:left w:w="200" w:type="dxa"/>
              <w:right w:w="200" w:type="dxa"/>
            </w:tcMar>
          </w:tcPr>
          <w:p>
            <w:pPr>
              <w:spacing w:after="0"/>
              <w:jc w:val="center"/>
            </w:pPr>
            <w:r>
              <w:rPr>
                <w:b/>
                <w:color w:val="6B2030"/>
                <w:sz w:val="22"/>
              </w:rPr>
              <w:t>Project Team</w:t>
              <w:br/>
            </w:r>
            <w:r>
              <w:rPr>
                <w:b/>
                <w:sz w:val="21"/>
              </w:rPr>
              <w:t>Avanthika  ·  Concept, Cultural Research, Physical Design &amp; UI/UX</w:t>
              <w:br/>
              <w:t>HA  ·  AR Foundation, Multimodal AI, Systems Architecture &amp; Execution</w:t>
              <w:br/>
            </w:r>
            <w:r>
              <w:rPr>
                <w:i/>
                <w:color w:val="555555"/>
                <w:sz w:val="19"/>
              </w:rPr>
              <w:t>Collaborating across all project stages: cross-cultural ethnography, design systems, and software engineering</w:t>
            </w:r>
          </w:p>
        </w:tc>
      </w:tr>
    </w:tbl>
    <w:p>
      <w:pPr>
        <w:spacing w:after="80"/>
      </w:pPr>
    </w:p>
    <w:p>
      <w:pPr>
        <w:spacing w:after="240"/>
        <w:jc w:val="center"/>
      </w:pPr>
      <w:r>
        <w:rPr>
          <w:b/>
          <w:color w:val="6B2030"/>
        </w:rPr>
        <w:t xml:space="preserve">Keywords: </w:t>
      </w:r>
      <w:r>
        <w:rPr>
          <w:sz w:val="19"/>
        </w:rPr>
        <w:t>AR Cultural Learning  ·  Physical-Digital System  ·  Kerala Mural Heritage  ·  Multimodal AI NPC (Voice &amp; Vision)  ·  Dynamic RAG  ·  Cultural Passport  ·  Quadrilingual Localization</w:t>
      </w:r>
    </w:p>
    <w:tbl>
      <w:tblPr>
        <w:tblW w:type="auto" w:w="0"/>
        <w:jc w:val="center"/>
        <w:tblLook w:firstColumn="1" w:firstRow="1" w:lastColumn="0" w:lastRow="0" w:noHBand="0" w:noVBand="1" w:val="04A0"/>
      </w:tblPr>
      <w:tblGrid>
        <w:gridCol w:w="9360"/>
      </w:tblGrid>
      <w:tr>
        <w:tc>
          <w:tcPr>
            <w:tcW w:type="dxa" w:w="9360"/>
            <w:shd w:fill="FDF6E2"/>
            <w:tcMar>
              <w:top w:w="160" w:type="dxa"/>
              <w:bottom w:w="160" w:type="dxa"/>
              <w:left w:w="220" w:type="dxa"/>
              <w:right w:w="220" w:type="dxa"/>
            </w:tcMar>
          </w:tcPr>
          <w:p>
            <w:pPr>
              <w:spacing w:after="80"/>
            </w:pPr>
            <w:r>
              <w:rPr>
                <w:b/>
                <w:color w:val="6B2030"/>
                <w:sz w:val="24"/>
              </w:rPr>
              <w:t>Executive Summary</w:t>
              <w:br/>
            </w:r>
          </w:p>
          <w:p>
            <w:pPr>
              <w:spacing w:after="120" w:line="276" w:lineRule="auto"/>
            </w:pPr>
            <w:r>
              <w:t>Ola (奧拉 / ഓല) is an end-to-end physical-digital cultural exchange ecosystem developed as the flagship project for a three-month Taiwan–India Cultural Exchange Internship (2025). The system bridges three distinct Asian cultures — Kerala (India), Taiwan, and Vietnam (Bac Ninh heritage) — through a tangible 3×3 collectible portrait card format structured into universal cultural anchors: Food, Festival, and Traditional Attire / Living Art. Each physical card is designed as an archival-quality artwork inspired by Kerala mural frescoes, accompanied by a mini accordion-fold zine and packaging sachet.</w:t>
              <w:br/>
              <w:br/>
              <w:t>Through the companion Ola mobile AR application, users scan the physical card to unlock a live, interactive learning encounter with Ola — an AI cultural guide. The digital architecture integrates a hybrid workflow: a structured opening narrative in Fungus, followed by a real-time Multimodal Generative AI engine featuring speech recognition (Microphone STT), computer vision targeting (AR target texture encoding), Dynamic Retrieval-Augmented Generation (RAG) for deep cultural facts, dynamic Text-to-Speech (TTS), and real-time 3D NPC lip-sync animation. The system provides seamless quadrilingual support across English, Traditional Chinese (繁體中文), Malayalam (മലയാളം), and Vietnamese (Tiếng Việt).</w:t>
            </w:r>
          </w:p>
          <w:p>
            <w:pPr>
              <w:spacing w:after="0" w:line="276" w:lineRule="auto"/>
            </w:pPr>
            <w:r>
              <w:t>Completed learning encounters reward users with digital stamps in a gamified Cultural Passport, tracking regional completion rates across all three territories. Users further explore 3D floating interactive cultural artifacts and embedded documentary video media. Offline, the three physical cards assemble without tools into a DIY keepsake keychain using a fold-and-tear lark's head knot mechanism, functioning as a tactile flashcard deck for spaced recall. An integrated Streamlit/Plotly Web Telemetry Platform complements the mobile app for museum and exhibition curators to track engagement analytics. The system represents a scalable, museum-ready paradigm for intangible cultural heritage preservation.</w:t>
            </w:r>
          </w:p>
        </w:tc>
      </w:tr>
    </w:tbl>
    <w:p>
      <w:pPr>
        <w:spacing w:after="160"/>
      </w:pPr>
    </w:p>
    <w:p>
      <w:pPr>
        <w:keepNext/>
        <w:spacing w:before="280" w:after="80"/>
      </w:pPr>
      <w:r>
        <w:rPr>
          <w:b/>
          <w:color w:val="6B2030"/>
          <w:sz w:val="28"/>
        </w:rPr>
        <w:t>01 — Background and Motivation</w:t>
      </w:r>
    </w:p>
    <w:p>
      <w:r>
        <w:t>On the first orientation day after arriving in Taiwan for this internship, when the team introduced themselves as hailing from India, the reception was overwhelmingly warm and enthusiastic. However, the cultural image that immediately surfaced across peer conversations was almost exclusively confined to North India: Hindi, Bollywood cinema, the Taj Mahal, and North Indian cuisine. Kerala — a southern coastal state possessing its own distinct classical language (Malayalam), unique tropical backwaters, matriarchal histories, Ayurvedic medicine, and centuries-old ritualistic performance traditions — did not register as a distinct cultural entity in the popular consciousness.</w:t>
        <w:br/>
        <w:br/>
        <w:t>This realization mirrored a complementary feeling experienced in the opposite direction. Back in Kerala, upon confirmation of the internship selection, there was genuine excitement to delve into Taiwan’s rich history — its intricate temple architecture, indigenous heritage, culinary traditions, and modern democratic vibrancy. Ola was born directly from this reciprocal realization: not as a didactic correction of misconceptions, but as an affectionate invitation to mutual discovery.</w:t>
        <w:br/>
        <w:br/>
        <w:t>The project’s name is directly derived from the historical 'ola' (ഓല) palm-leaf manuscripts — the physical medium utilized across Kerala for over two millennia to encode, preserve, and transmit indigenous knowledge, literature, astronomy, and mathematics before the advent of paper. The Ola Cultural Learning System reimagines this palm-leaf tradition for the 21st century: transmuting physical cards into contemporary 'ola leaves' activated through Augmented Reality and Generative Artificial Intelligence.</w:t>
      </w:r>
    </w:p>
    <w:p>
      <w:pPr>
        <w:keepNext/>
        <w:spacing w:before="280" w:after="80"/>
      </w:pPr>
      <w:r>
        <w:rPr>
          <w:b/>
          <w:color w:val="6B2030"/>
          <w:sz w:val="28"/>
        </w:rPr>
        <w:t>02 — Project Concept &amp; Core Insight</w:t>
      </w:r>
    </w:p>
    <w:p>
      <w:r>
        <w:t>Ola is designed as a unified physical-digital cultural learning ecosystem operating at the intersection of tangible design, immersive Augmented Reality (AR), Multimodal Generative AI, and museum telemetry. The complete learning loop comprises three integrated touchpoints:</w:t>
        <w:br/>
      </w:r>
    </w:p>
    <w:p>
      <w:pPr>
        <w:pStyle w:val="ListParagraph"/>
        <w:spacing w:after="60" w:line="276" w:lineRule="auto"/>
      </w:pPr>
      <w:r>
        <w:rPr>
          <w:b/>
          <w:color w:val="111111"/>
        </w:rPr>
        <w:t xml:space="preserve">1. The Tangible Artifact Layer: </w:t>
      </w:r>
      <w:r>
        <w:t>Nine collectible portrait cards across three Asian cultures (Kerala, Taiwan, Vietnam), packaged in themed cultural sachets with mini zines and DIY tactile assembly mechanics.</w:t>
      </w:r>
    </w:p>
    <w:p>
      <w:pPr>
        <w:pStyle w:val="ListParagraph"/>
        <w:spacing w:after="60" w:line="276" w:lineRule="auto"/>
      </w:pPr>
      <w:r>
        <w:rPr>
          <w:b/>
          <w:color w:val="111111"/>
        </w:rPr>
        <w:t xml:space="preserve">2. The Intelligent AR Companion Layer: </w:t>
      </w:r>
      <w:r>
        <w:t>A native mobile application powered by Unity AR Foundation, Fungus visual scripting, and a live Multimodal AI Guide NPC that listens via microphone, perceives physical cards via vision encoding, answers open-ended cultural questions in 4 languages, and synchronizes real-time 3D facial lip movements.</w:t>
      </w:r>
    </w:p>
    <w:p>
      <w:pPr>
        <w:pStyle w:val="ListParagraph"/>
        <w:spacing w:after="60" w:line="276" w:lineRule="auto"/>
      </w:pPr>
      <w:r>
        <w:rPr>
          <w:b/>
          <w:color w:val="111111"/>
        </w:rPr>
        <w:t xml:space="preserve">3. The Gamified Progression &amp; Telemetry Layer: </w:t>
      </w:r>
      <w:r>
        <w:t>A Digital Cultural Passport tracking regional exploration progress (%), unlocking persistent digital stamps, offering 3D floating interactive artifact inspections, and transmitting scan analytics to a companion exhibition web dashboard.</w:t>
      </w:r>
    </w:p>
    <w:tbl>
      <w:tblPr>
        <w:tblW w:type="auto" w:w="0"/>
        <w:jc w:val="center"/>
        <w:tblLook w:firstColumn="1" w:firstRow="1" w:lastColumn="0" w:lastRow="0" w:noHBand="0" w:noVBand="1" w:val="04A0"/>
      </w:tblPr>
      <w:tblGrid>
        <w:gridCol w:w="9360"/>
      </w:tblGrid>
      <w:tr>
        <w:tc>
          <w:tcPr>
            <w:tcW w:type="dxa" w:w="9360"/>
            <w:shd w:fill="FBF8F3"/>
            <w:tcMar>
              <w:top w:w="120" w:type="dxa"/>
              <w:bottom w:w="120" w:type="dxa"/>
              <w:left w:w="180" w:type="dxa"/>
              <w:right w:w="180" w:type="dxa"/>
            </w:tcMar>
          </w:tcPr>
          <w:p>
            <w:pPr>
              <w:spacing w:after="0"/>
            </w:pPr>
            <w:r>
              <w:rPr>
                <w:b/>
                <w:color w:val="6B2030"/>
              </w:rPr>
              <w:t xml:space="preserve">The Core Design Insight: </w:t>
            </w:r>
            <w:r>
              <w:t>Conventional AR cultural applications frequently treat the physical marker merely as disposable tracking infrastructure (e.g., standard QR codes or flat photos discarded immediately after digital activation). In Ola, the physical card IS the primary heirloom product — an intricate mural artwork worthy of collection. The AR and AI layers do not replace the physical card; they awaken its latent stories.</w:t>
            </w:r>
          </w:p>
        </w:tc>
      </w:tr>
    </w:tbl>
    <w:p>
      <w:pPr>
        <w:spacing w:after="120"/>
      </w:pPr>
    </w:p>
    <w:p>
      <w:pPr>
        <w:keepNext/>
        <w:spacing w:before="280" w:after="80"/>
      </w:pPr>
      <w:r>
        <w:rPr>
          <w:b/>
          <w:color w:val="6B2030"/>
          <w:sz w:val="28"/>
        </w:rPr>
        <w:t>03 — The 3×3 Card &amp; Cultural Anchor Matrix</w:t>
      </w:r>
    </w:p>
    <w:p>
      <w:r>
        <w:t>To achieve meaningful cross-cultural synthesis without superficial stereotyping, the curriculum establishes three universal cultural anchors — Food, Festival, and Attire / Living Heritage Art — applied rigorously across Kerala (India), Taiwan, and Vietnam (Bac Ninh heritage).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6B2030"/>
            <w:tcMar>
              <w:top w:w="100" w:type="dxa"/>
              <w:bottom w:w="100" w:type="dxa"/>
              <w:left w:w="120" w:type="dxa"/>
              <w:right w:w="120" w:type="dxa"/>
            </w:tcMar>
          </w:tcPr>
          <w:p>
            <w:pPr>
              <w:spacing w:after="0"/>
            </w:pPr>
            <w:r>
              <w:rPr>
                <w:b/>
                <w:color w:val="FFFFFF"/>
                <w:sz w:val="20"/>
              </w:rPr>
              <w:t>Culture / Region</w:t>
            </w:r>
          </w:p>
        </w:tc>
        <w:tc>
          <w:tcPr>
            <w:tcW w:type="dxa" w:w="3120"/>
            <w:shd w:fill="6B2030"/>
            <w:tcMar>
              <w:top w:w="100" w:type="dxa"/>
              <w:bottom w:w="100" w:type="dxa"/>
              <w:left w:w="120" w:type="dxa"/>
              <w:right w:w="120" w:type="dxa"/>
            </w:tcMar>
          </w:tcPr>
          <w:p>
            <w:pPr>
              <w:spacing w:after="0"/>
            </w:pPr>
            <w:r>
              <w:rPr>
                <w:b/>
                <w:color w:val="FFFFFF"/>
                <w:sz w:val="20"/>
              </w:rPr>
              <w:t>Universal Anchor</w:t>
            </w:r>
          </w:p>
        </w:tc>
        <w:tc>
          <w:tcPr>
            <w:tcW w:type="dxa" w:w="3120"/>
            <w:shd w:fill="6B2030"/>
            <w:tcMar>
              <w:top w:w="100" w:type="dxa"/>
              <w:bottom w:w="100" w:type="dxa"/>
              <w:left w:w="120" w:type="dxa"/>
              <w:right w:w="120" w:type="dxa"/>
            </w:tcMar>
          </w:tcPr>
          <w:p>
            <w:pPr>
              <w:spacing w:after="0"/>
            </w:pPr>
            <w:r>
              <w:rPr>
                <w:b/>
                <w:color w:val="FFFFFF"/>
                <w:sz w:val="20"/>
              </w:rPr>
              <w:t>Cultural Subject &amp; Pedagogical Focus</w:t>
            </w:r>
          </w:p>
        </w:tc>
      </w:tr>
      <w:tr>
        <w:tc>
          <w:tcPr>
            <w:tcW w:type="dxa" w:w="3120"/>
            <w:shd w:fill="F0EFEB"/>
            <w:tcMar>
              <w:top w:w="80" w:type="dxa"/>
              <w:bottom w:w="80" w:type="dxa"/>
              <w:left w:w="100" w:type="dxa"/>
              <w:right w:w="100" w:type="dxa"/>
            </w:tcMar>
          </w:tcPr>
          <w:p>
            <w:pPr>
              <w:spacing w:after="0"/>
            </w:pPr>
            <w:r>
              <w:rPr>
                <w:b/>
                <w:sz w:val="19"/>
              </w:rPr>
              <w:t>Kerala (India)</w:t>
            </w:r>
          </w:p>
        </w:tc>
        <w:tc>
          <w:tcPr>
            <w:tcW w:type="dxa" w:w="3120"/>
            <w:shd w:fill="F0EFEB"/>
            <w:tcMar>
              <w:top w:w="80" w:type="dxa"/>
              <w:bottom w:w="80" w:type="dxa"/>
              <w:left w:w="100" w:type="dxa"/>
              <w:right w:w="100" w:type="dxa"/>
            </w:tcMar>
          </w:tcPr>
          <w:p>
            <w:pPr>
              <w:spacing w:after="0"/>
            </w:pPr>
            <w:r>
              <w:rPr>
                <w:sz w:val="19"/>
              </w:rPr>
              <w:t>Food</w:t>
            </w:r>
          </w:p>
        </w:tc>
        <w:tc>
          <w:tcPr>
            <w:tcW w:type="dxa" w:w="3120"/>
            <w:shd w:fill="F0EFEB"/>
            <w:tcMar>
              <w:top w:w="80" w:type="dxa"/>
              <w:bottom w:w="80" w:type="dxa"/>
              <w:left w:w="100" w:type="dxa"/>
              <w:right w:w="100" w:type="dxa"/>
            </w:tcMar>
          </w:tcPr>
          <w:p>
            <w:pPr>
              <w:spacing w:after="0"/>
            </w:pPr>
            <w:r>
              <w:rPr>
                <w:sz w:val="19"/>
              </w:rPr>
              <w:t>Kerala Onasadya (സദ്യ) — Grand vegetarian harvest feast comprising 26 distinct dishes served on a banana leaf in precise Ayurvedic order, balancing six tastes (Shadrasa).</w:t>
            </w:r>
          </w:p>
        </w:tc>
      </w:tr>
      <w:tr>
        <w:tc>
          <w:tcPr>
            <w:tcW w:type="dxa" w:w="3120"/>
            <w:shd w:fill="FFFFFF"/>
            <w:tcMar>
              <w:top w:w="80" w:type="dxa"/>
              <w:bottom w:w="80" w:type="dxa"/>
              <w:left w:w="100" w:type="dxa"/>
              <w:right w:w="100" w:type="dxa"/>
            </w:tcMar>
          </w:tcPr>
          <w:p>
            <w:pPr>
              <w:spacing w:after="0"/>
            </w:pPr>
            <w:r>
              <w:rPr>
                <w:b/>
                <w:sz w:val="19"/>
              </w:rPr>
              <w:t>Kerala (India)</w:t>
            </w:r>
          </w:p>
        </w:tc>
        <w:tc>
          <w:tcPr>
            <w:tcW w:type="dxa" w:w="3120"/>
            <w:shd w:fill="FFFFFF"/>
            <w:tcMar>
              <w:top w:w="80" w:type="dxa"/>
              <w:bottom w:w="80" w:type="dxa"/>
              <w:left w:w="100" w:type="dxa"/>
              <w:right w:w="100" w:type="dxa"/>
            </w:tcMar>
          </w:tcPr>
          <w:p>
            <w:pPr>
              <w:spacing w:after="0"/>
            </w:pPr>
            <w:r>
              <w:rPr>
                <w:sz w:val="19"/>
              </w:rPr>
              <w:t>Festival</w:t>
            </w:r>
          </w:p>
        </w:tc>
        <w:tc>
          <w:tcPr>
            <w:tcW w:type="dxa" w:w="3120"/>
            <w:shd w:fill="FFFFFF"/>
            <w:tcMar>
              <w:top w:w="80" w:type="dxa"/>
              <w:bottom w:w="80" w:type="dxa"/>
              <w:left w:w="100" w:type="dxa"/>
              <w:right w:w="100" w:type="dxa"/>
            </w:tcMar>
          </w:tcPr>
          <w:p>
            <w:pPr>
              <w:spacing w:after="0"/>
            </w:pPr>
            <w:r>
              <w:rPr>
                <w:sz w:val="19"/>
              </w:rPr>
              <w:t>Thrissur Pooram (തൃശ്ശൂർ പൂരം) — The vibrant 'Festival of Festivals' celebrated at Vadakkunnathan Temple; featuring Kudamattom umbrella exchanges, 30 caparisoned elephants, and Ilanjithara Melam percussion.</w:t>
            </w:r>
          </w:p>
        </w:tc>
      </w:tr>
      <w:tr>
        <w:tc>
          <w:tcPr>
            <w:tcW w:type="dxa" w:w="3120"/>
            <w:shd w:fill="F0EFEB"/>
            <w:tcMar>
              <w:top w:w="80" w:type="dxa"/>
              <w:bottom w:w="80" w:type="dxa"/>
              <w:left w:w="100" w:type="dxa"/>
              <w:right w:w="100" w:type="dxa"/>
            </w:tcMar>
          </w:tcPr>
          <w:p>
            <w:pPr>
              <w:spacing w:after="0"/>
            </w:pPr>
            <w:r>
              <w:rPr>
                <w:b/>
                <w:sz w:val="19"/>
              </w:rPr>
              <w:t>Kerala (India)</w:t>
            </w:r>
          </w:p>
        </w:tc>
        <w:tc>
          <w:tcPr>
            <w:tcW w:type="dxa" w:w="3120"/>
            <w:shd w:fill="F0EFEB"/>
            <w:tcMar>
              <w:top w:w="80" w:type="dxa"/>
              <w:bottom w:w="80" w:type="dxa"/>
              <w:left w:w="100" w:type="dxa"/>
              <w:right w:w="100" w:type="dxa"/>
            </w:tcMar>
          </w:tcPr>
          <w:p>
            <w:pPr>
              <w:spacing w:after="0"/>
            </w:pPr>
            <w:r>
              <w:rPr>
                <w:sz w:val="19"/>
              </w:rPr>
              <w:t>Attire</w:t>
            </w:r>
          </w:p>
        </w:tc>
        <w:tc>
          <w:tcPr>
            <w:tcW w:type="dxa" w:w="3120"/>
            <w:shd w:fill="F0EFEB"/>
            <w:tcMar>
              <w:top w:w="80" w:type="dxa"/>
              <w:bottom w:w="80" w:type="dxa"/>
              <w:left w:w="100" w:type="dxa"/>
              <w:right w:w="100" w:type="dxa"/>
            </w:tcMar>
          </w:tcPr>
          <w:p>
            <w:pPr>
              <w:spacing w:after="0"/>
            </w:pPr>
            <w:r>
              <w:rPr>
                <w:sz w:val="19"/>
              </w:rPr>
              <w:t>Kasavu Saree &amp; Mundu (കസവ്) — Iconic off-white and gold-bordered handloom textile with Geographical Indication (GI) heritage, encoding status and auspicious milestones in border widths.</w:t>
            </w:r>
          </w:p>
        </w:tc>
      </w:tr>
      <w:tr>
        <w:tc>
          <w:tcPr>
            <w:tcW w:type="dxa" w:w="3120"/>
            <w:shd w:fill="FFFFFF"/>
            <w:tcMar>
              <w:top w:w="80" w:type="dxa"/>
              <w:bottom w:w="80" w:type="dxa"/>
              <w:left w:w="100" w:type="dxa"/>
              <w:right w:w="100" w:type="dxa"/>
            </w:tcMar>
          </w:tcPr>
          <w:p>
            <w:pPr>
              <w:spacing w:after="0"/>
            </w:pPr>
            <w:r>
              <w:rPr>
                <w:b/>
                <w:sz w:val="19"/>
              </w:rPr>
              <w:t>Taiwan</w:t>
            </w:r>
          </w:p>
        </w:tc>
        <w:tc>
          <w:tcPr>
            <w:tcW w:type="dxa" w:w="3120"/>
            <w:shd w:fill="FFFFFF"/>
            <w:tcMar>
              <w:top w:w="80" w:type="dxa"/>
              <w:bottom w:w="80" w:type="dxa"/>
              <w:left w:w="100" w:type="dxa"/>
              <w:right w:w="100" w:type="dxa"/>
            </w:tcMar>
          </w:tcPr>
          <w:p>
            <w:pPr>
              <w:spacing w:after="0"/>
            </w:pPr>
            <w:r>
              <w:rPr>
                <w:sz w:val="19"/>
              </w:rPr>
              <w:t>Food</w:t>
            </w:r>
          </w:p>
        </w:tc>
        <w:tc>
          <w:tcPr>
            <w:tcW w:type="dxa" w:w="3120"/>
            <w:shd w:fill="FFFFFF"/>
            <w:tcMar>
              <w:top w:w="80" w:type="dxa"/>
              <w:bottom w:w="80" w:type="dxa"/>
              <w:left w:w="100" w:type="dxa"/>
              <w:right w:w="100" w:type="dxa"/>
            </w:tcMar>
          </w:tcPr>
          <w:p>
            <w:pPr>
              <w:spacing w:after="0"/>
            </w:pPr>
            <w:r>
              <w:rPr>
                <w:sz w:val="19"/>
              </w:rPr>
              <w:t>Taiwanese Beef Noodle Soup (牛肉麵) — Taiwan's iconic culinary staple born from mid-20th-century cultural integration, combining slow-braised beef shanks, bone broth, and handcrafted noodles.</w:t>
            </w:r>
          </w:p>
        </w:tc>
      </w:tr>
      <w:tr>
        <w:tc>
          <w:tcPr>
            <w:tcW w:type="dxa" w:w="3120"/>
            <w:shd w:fill="F0EFEB"/>
            <w:tcMar>
              <w:top w:w="80" w:type="dxa"/>
              <w:bottom w:w="80" w:type="dxa"/>
              <w:left w:w="100" w:type="dxa"/>
              <w:right w:w="100" w:type="dxa"/>
            </w:tcMar>
          </w:tcPr>
          <w:p>
            <w:pPr>
              <w:spacing w:after="0"/>
            </w:pPr>
            <w:r>
              <w:rPr>
                <w:b/>
                <w:sz w:val="19"/>
              </w:rPr>
              <w:t>Taiwan</w:t>
            </w:r>
          </w:p>
        </w:tc>
        <w:tc>
          <w:tcPr>
            <w:tcW w:type="dxa" w:w="3120"/>
            <w:shd w:fill="F0EFEB"/>
            <w:tcMar>
              <w:top w:w="80" w:type="dxa"/>
              <w:bottom w:w="80" w:type="dxa"/>
              <w:left w:w="100" w:type="dxa"/>
              <w:right w:w="100" w:type="dxa"/>
            </w:tcMar>
          </w:tcPr>
          <w:p>
            <w:pPr>
              <w:spacing w:after="0"/>
            </w:pPr>
            <w:r>
              <w:rPr>
                <w:sz w:val="19"/>
              </w:rPr>
              <w:t>Festival</w:t>
            </w:r>
          </w:p>
        </w:tc>
        <w:tc>
          <w:tcPr>
            <w:tcW w:type="dxa" w:w="3120"/>
            <w:shd w:fill="F0EFEB"/>
            <w:tcMar>
              <w:top w:w="80" w:type="dxa"/>
              <w:bottom w:w="80" w:type="dxa"/>
              <w:left w:w="100" w:type="dxa"/>
              <w:right w:w="100" w:type="dxa"/>
            </w:tcMar>
          </w:tcPr>
          <w:p>
            <w:pPr>
              <w:spacing w:after="0"/>
            </w:pPr>
            <w:r>
              <w:rPr>
                <w:sz w:val="19"/>
              </w:rPr>
              <w:t>Pingxi Sky Lantern Festival (平溪天燈節) — Historic defense signaling transformed into an internationally renowned ritual of collective hope, releasing illuminated lanterns into the night sky.</w:t>
            </w:r>
          </w:p>
        </w:tc>
      </w:tr>
      <w:tr>
        <w:tc>
          <w:tcPr>
            <w:tcW w:type="dxa" w:w="3120"/>
            <w:shd w:fill="FFFFFF"/>
            <w:tcMar>
              <w:top w:w="80" w:type="dxa"/>
              <w:bottom w:w="80" w:type="dxa"/>
              <w:left w:w="100" w:type="dxa"/>
              <w:right w:w="100" w:type="dxa"/>
            </w:tcMar>
          </w:tcPr>
          <w:p>
            <w:pPr>
              <w:spacing w:after="0"/>
            </w:pPr>
            <w:r>
              <w:rPr>
                <w:b/>
                <w:sz w:val="19"/>
              </w:rPr>
              <w:t>Taiwan</w:t>
            </w:r>
          </w:p>
        </w:tc>
        <w:tc>
          <w:tcPr>
            <w:tcW w:type="dxa" w:w="3120"/>
            <w:shd w:fill="FFFFFF"/>
            <w:tcMar>
              <w:top w:w="80" w:type="dxa"/>
              <w:bottom w:w="80" w:type="dxa"/>
              <w:left w:w="100" w:type="dxa"/>
              <w:right w:w="100" w:type="dxa"/>
            </w:tcMar>
          </w:tcPr>
          <w:p>
            <w:pPr>
              <w:spacing w:after="0"/>
            </w:pPr>
            <w:r>
              <w:rPr>
                <w:sz w:val="19"/>
              </w:rPr>
              <w:t>Attire</w:t>
            </w:r>
          </w:p>
        </w:tc>
        <w:tc>
          <w:tcPr>
            <w:tcW w:type="dxa" w:w="3120"/>
            <w:shd w:fill="FFFFFF"/>
            <w:tcMar>
              <w:top w:w="80" w:type="dxa"/>
              <w:bottom w:w="80" w:type="dxa"/>
              <w:left w:w="100" w:type="dxa"/>
              <w:right w:w="100" w:type="dxa"/>
            </w:tcMar>
          </w:tcPr>
          <w:p>
            <w:pPr>
              <w:spacing w:after="0"/>
            </w:pPr>
            <w:r>
              <w:rPr>
                <w:sz w:val="19"/>
              </w:rPr>
              <w:t>Paiwan Indigenous Ceremonial Dress (排灣族傳統服飾) — Master textile traditions featuring intricate cross-stitch embroidery, auspicious glass beadwork, and sacred hundred-pacer snake motifs encoding lineage.</w:t>
            </w:r>
          </w:p>
        </w:tc>
      </w:tr>
      <w:tr>
        <w:tc>
          <w:tcPr>
            <w:tcW w:type="dxa" w:w="3120"/>
            <w:shd w:fill="F0EFEB"/>
            <w:tcMar>
              <w:top w:w="80" w:type="dxa"/>
              <w:bottom w:w="80" w:type="dxa"/>
              <w:left w:w="100" w:type="dxa"/>
              <w:right w:w="100" w:type="dxa"/>
            </w:tcMar>
          </w:tcPr>
          <w:p>
            <w:pPr>
              <w:spacing w:after="0"/>
            </w:pPr>
            <w:r>
              <w:rPr>
                <w:b/>
                <w:sz w:val="19"/>
              </w:rPr>
              <w:t>Vietnam (Bac Ninh)</w:t>
            </w:r>
          </w:p>
        </w:tc>
        <w:tc>
          <w:tcPr>
            <w:tcW w:type="dxa" w:w="3120"/>
            <w:shd w:fill="F0EFEB"/>
            <w:tcMar>
              <w:top w:w="80" w:type="dxa"/>
              <w:bottom w:w="80" w:type="dxa"/>
              <w:left w:w="100" w:type="dxa"/>
              <w:right w:w="100" w:type="dxa"/>
            </w:tcMar>
          </w:tcPr>
          <w:p>
            <w:pPr>
              <w:spacing w:after="0"/>
            </w:pPr>
            <w:r>
              <w:rPr>
                <w:sz w:val="19"/>
              </w:rPr>
              <w:t>Food</w:t>
            </w:r>
          </w:p>
        </w:tc>
        <w:tc>
          <w:tcPr>
            <w:tcW w:type="dxa" w:w="3120"/>
            <w:shd w:fill="F0EFEB"/>
            <w:tcMar>
              <w:top w:w="80" w:type="dxa"/>
              <w:bottom w:w="80" w:type="dxa"/>
              <w:left w:w="100" w:type="dxa"/>
              <w:right w:w="100" w:type="dxa"/>
            </w:tcMar>
          </w:tcPr>
          <w:p>
            <w:pPr>
              <w:spacing w:after="0"/>
            </w:pPr>
            <w:r>
              <w:rPr>
                <w:sz w:val="19"/>
              </w:rPr>
              <w:t>Bánh Phu Thê / Husband &amp; Wife Cake (Bánh Phu Thê Đình Bảng) — Traditional sticky rice cake wrapped in dong leaves, featuring golden mung bean and coconut filling, symbolizing marital harmony and Yin-Yang balance.</w:t>
            </w:r>
          </w:p>
        </w:tc>
      </w:tr>
      <w:tr>
        <w:tc>
          <w:tcPr>
            <w:tcW w:type="dxa" w:w="3120"/>
            <w:shd w:fill="FFFFFF"/>
            <w:tcMar>
              <w:top w:w="80" w:type="dxa"/>
              <w:bottom w:w="80" w:type="dxa"/>
              <w:left w:w="100" w:type="dxa"/>
              <w:right w:w="100" w:type="dxa"/>
            </w:tcMar>
          </w:tcPr>
          <w:p>
            <w:pPr>
              <w:spacing w:after="0"/>
            </w:pPr>
            <w:r>
              <w:rPr>
                <w:b/>
                <w:sz w:val="19"/>
              </w:rPr>
              <w:t>Vietnam (Bac Ninh)</w:t>
            </w:r>
          </w:p>
        </w:tc>
        <w:tc>
          <w:tcPr>
            <w:tcW w:type="dxa" w:w="3120"/>
            <w:shd w:fill="FFFFFF"/>
            <w:tcMar>
              <w:top w:w="80" w:type="dxa"/>
              <w:bottom w:w="80" w:type="dxa"/>
              <w:left w:w="100" w:type="dxa"/>
              <w:right w:w="100" w:type="dxa"/>
            </w:tcMar>
          </w:tcPr>
          <w:p>
            <w:pPr>
              <w:spacing w:after="0"/>
            </w:pPr>
            <w:r>
              <w:rPr>
                <w:sz w:val="19"/>
              </w:rPr>
              <w:t>Festival</w:t>
            </w:r>
          </w:p>
        </w:tc>
        <w:tc>
          <w:tcPr>
            <w:tcW w:type="dxa" w:w="3120"/>
            <w:shd w:fill="FFFFFF"/>
            <w:tcMar>
              <w:top w:w="80" w:type="dxa"/>
              <w:bottom w:w="80" w:type="dxa"/>
              <w:left w:w="100" w:type="dxa"/>
              <w:right w:w="100" w:type="dxa"/>
            </w:tcMar>
          </w:tcPr>
          <w:p>
            <w:pPr>
              <w:spacing w:after="0"/>
            </w:pPr>
            <w:r>
              <w:rPr>
                <w:sz w:val="19"/>
              </w:rPr>
              <w:t>Dong Ky Firecracker Procession Festival (Hội rước pháo Đồng Kỵ) — UNESCO-recognized intangible cultural festival featuring elaborate wooden mock-firecracker processions celebrating village solidarity and prosperity.</w:t>
            </w:r>
          </w:p>
        </w:tc>
      </w:tr>
      <w:tr>
        <w:tc>
          <w:tcPr>
            <w:tcW w:type="dxa" w:w="3120"/>
            <w:shd w:fill="F0EFEB"/>
            <w:tcMar>
              <w:top w:w="80" w:type="dxa"/>
              <w:bottom w:w="80" w:type="dxa"/>
              <w:left w:w="100" w:type="dxa"/>
              <w:right w:w="100" w:type="dxa"/>
            </w:tcMar>
          </w:tcPr>
          <w:p>
            <w:pPr>
              <w:spacing w:after="0"/>
            </w:pPr>
            <w:r>
              <w:rPr>
                <w:b/>
                <w:sz w:val="19"/>
              </w:rPr>
              <w:t>Vietnam (Bac Ninh)</w:t>
            </w:r>
          </w:p>
        </w:tc>
        <w:tc>
          <w:tcPr>
            <w:tcW w:type="dxa" w:w="3120"/>
            <w:shd w:fill="F0EFEB"/>
            <w:tcMar>
              <w:top w:w="80" w:type="dxa"/>
              <w:bottom w:w="80" w:type="dxa"/>
              <w:left w:w="100" w:type="dxa"/>
              <w:right w:w="100" w:type="dxa"/>
            </w:tcMar>
          </w:tcPr>
          <w:p>
            <w:pPr>
              <w:spacing w:after="0"/>
            </w:pPr>
            <w:r>
              <w:rPr>
                <w:sz w:val="19"/>
              </w:rPr>
              <w:t>Attire &amp; Art</w:t>
            </w:r>
          </w:p>
        </w:tc>
        <w:tc>
          <w:tcPr>
            <w:tcW w:type="dxa" w:w="3120"/>
            <w:shd w:fill="F0EFEB"/>
            <w:tcMar>
              <w:top w:w="80" w:type="dxa"/>
              <w:bottom w:w="80" w:type="dxa"/>
              <w:left w:w="100" w:type="dxa"/>
              <w:right w:w="100" w:type="dxa"/>
            </w:tcMar>
          </w:tcPr>
          <w:p>
            <w:pPr>
              <w:spacing w:after="0"/>
            </w:pPr>
            <w:r>
              <w:rPr>
                <w:sz w:val="19"/>
              </w:rPr>
              <w:t>Áo Tứ Thân &amp; Dong Ho Woodblock Art (Áo Tứ Thân &amp; Tranh Đông Hồ) — Elegant Northern Vietnamese four-panel dress paired with historical woodblock prints on natural Dzo paper using scallop shell powder.</w:t>
            </w:r>
          </w:p>
        </w:tc>
      </w:tr>
    </w:tbl>
    <w:p>
      <w:pPr>
        <w:spacing w:after="120"/>
      </w:pPr>
    </w:p>
    <w:p>
      <w:pPr>
        <w:keepNext/>
        <w:spacing w:before="280" w:after="80"/>
      </w:pPr>
      <w:r>
        <w:rPr>
          <w:b/>
          <w:color w:val="6B2030"/>
          <w:sz w:val="28"/>
        </w:rPr>
        <w:t>04 — Physical Artifact Design &amp; Materiality</w:t>
      </w:r>
    </w:p>
    <w:p>
      <w:pPr>
        <w:keepNext/>
        <w:spacing w:before="160" w:after="60"/>
      </w:pPr>
      <w:r>
        <w:rPr>
          <w:b/>
          <w:color w:val="8C6A1F"/>
          <w:sz w:val="24"/>
        </w:rPr>
        <w:t>4.1 Packaging Sachets</w:t>
      </w:r>
    </w:p>
    <w:p>
      <w:r>
        <w:t>Each regional set is encased in a custom printed sachet envelope echoing its regional visual heritage:</w:t>
        <w:br/>
        <w:t>• Kerala Sachet: Deep maroon (#6B2030) and metallic gold accents featuring geometric mural fretwork.</w:t>
        <w:br/>
        <w:t>• Taiwan Sachet: Indigo navy (#1B2B4A) and vermilion lantern red with classical temple lattice motifs.</w:t>
        <w:br/>
        <w:t>• Vietnam Sachet: Forest emerald (#1F4D3D) and lotus crimson featuring bamboo weaves and lacquerware patterns.</w:t>
        <w:br/>
        <w:t>All sachets maintain uniform dimensions and reveal the gold-embossed Ola emblem upon unboxing.</w:t>
      </w:r>
    </w:p>
    <w:p>
      <w:pPr>
        <w:keepNext/>
        <w:spacing w:before="160" w:after="60"/>
      </w:pPr>
      <w:r>
        <w:rPr>
          <w:b/>
          <w:color w:val="8C6A1F"/>
          <w:sz w:val="24"/>
        </w:rPr>
        <w:t>4.2 Archival Cards &amp; AR Marker Specifications</w:t>
      </w:r>
    </w:p>
    <w:p>
      <w:r>
        <w:t>• Form Factor &amp; Substrate: Standard A6 portrait format (105 × 148 mm), 350 gsm archival silk matte cardstock with anti-glare finish, ensuring optical stability under varying lighting conditions for AR camera tracking.</w:t>
        <w:br/>
        <w:t>• Front Face (AR Optical Target): High-contrast fresco illustrations designed with distinct asymmetric feature anchors to maximize AR Foundation feature point extraction.</w:t>
        <w:br/>
        <w:t>• Back Face (Tactile Spaced Recall): Standardized across all nine cards in ivory and maroon, establishing a clean uniform deck when laid face-down for physical flashcard memory recall.</w:t>
        <w:br/>
        <w:t>• Integrated Mounting Aperture: Pre-punched 5mm eyelet at the base, aesthetically integrated into the decorative border framework.</w:t>
      </w:r>
    </w:p>
    <w:p>
      <w:pPr>
        <w:keepNext/>
        <w:spacing w:before="160" w:after="60"/>
      </w:pPr>
      <w:r>
        <w:rPr>
          <w:b/>
          <w:color w:val="8C6A1F"/>
          <w:sz w:val="24"/>
        </w:rPr>
        <w:t>4.3 The Educational Accordion Zine</w:t>
      </w:r>
    </w:p>
    <w:p>
      <w:r>
        <w:t>Each sachet contains an 8-panel accordion-fold A4 zine that unpacks into identical A6 proportions. The narrative structure includes: Cultural Genesis → Food Anchor Deep-Dive → Festival Traditions → Living Textile Arts → DIY Keychain Assembly Instructions → Mobile App QR Code Linkage.</w:t>
      </w:r>
    </w:p>
    <w:p>
      <w:pPr>
        <w:keepNext/>
        <w:spacing w:before="160" w:after="60"/>
      </w:pPr>
      <w:r>
        <w:rPr>
          <w:b/>
          <w:color w:val="8C6A1F"/>
          <w:sz w:val="24"/>
        </w:rPr>
        <w:t>4.4 Tool-Free DIY Keychain Assembly (Lark’s Head Mechanism)</w:t>
      </w:r>
    </w:p>
    <w:p>
      <w:r>
        <w:t>Upon completing all three regional cards, users assemble them into a wearable keepsake without scissors, adhesive, or split-rings. Utilizing pre-perforated 1.5 cm tear strips, the user forms self-locking loops threaded through the eyelet holes using a traditional lark’s head knot. The cards fan into an elegant pocket booklet that attaches directly to backpacks or lanyards, transforming transient digital learning into a permanent physical talisman.</w:t>
      </w:r>
    </w:p>
    <w:p>
      <w:pPr>
        <w:keepNext/>
        <w:spacing w:before="280" w:after="80"/>
      </w:pPr>
      <w:r>
        <w:rPr>
          <w:b/>
          <w:color w:val="6B2030"/>
          <w:sz w:val="28"/>
        </w:rPr>
        <w:t>05 — Digital Experience &amp; UX Architecture</w:t>
      </w:r>
    </w:p>
    <w:p>
      <w:pPr>
        <w:keepNext/>
        <w:spacing w:before="160" w:after="60"/>
      </w:pPr>
      <w:r>
        <w:rPr>
          <w:b/>
          <w:color w:val="8C6A1F"/>
          <w:sz w:val="24"/>
        </w:rPr>
        <w:t>5.1 Modern 3-Tab Magazine Navigation</w:t>
      </w:r>
    </w:p>
    <w:p>
      <w:r>
        <w:t>Departing from rigid, single-branch linear apps, Ola employs an editorial, magazine-style 3-Tab Floating Navigation Bar generated dynamically via custom Unity Editor utilities:</w:t>
        <w:br/>
        <w:t>1. Home Hub (Magazine View): Curated cultural articles, regional switcher dropdown (All, Taiwan, Kerala, Vietnam), and localized overview narratives ('Three Worlds, One Journey').</w:t>
        <w:br/>
        <w:t>2. Explore Screen (AR Optical Viewport): 2:3 ratio camera viewfinder with gold corner alignment reticles, persistent tracking feedback, 'Ask AI' voice trigger, and 'Explore Artwork' multimedia button.</w:t>
        <w:br/>
        <w:t>3. Cultural Passport: Comprehensive user journey center featuring editable profile name, 12-Zodiac avatar picker, real-time regional progress bars (0–100%), and digital stamp album.</w:t>
      </w:r>
    </w:p>
    <w:p>
      <w:pPr>
        <w:keepNext/>
        <w:spacing w:before="160" w:after="60"/>
      </w:pPr>
      <w:r>
        <w:rPr>
          <w:b/>
          <w:color w:val="8C6A1F"/>
          <w:sz w:val="24"/>
        </w:rPr>
        <w:t>5.2 The Guide Character — Ola (Virtual Cultural Ambassador)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6B2030"/>
            <w:tcMar>
              <w:top w:w="100" w:type="dxa"/>
              <w:bottom w:w="100" w:type="dxa"/>
              <w:left w:w="120" w:type="dxa"/>
              <w:right w:w="120" w:type="dxa"/>
            </w:tcMar>
          </w:tcPr>
          <w:p>
            <w:pPr>
              <w:spacing w:after="0"/>
            </w:pPr>
            <w:r>
              <w:rPr>
                <w:b/>
                <w:color w:val="FFFFFF"/>
                <w:sz w:val="20"/>
              </w:rPr>
              <w:t>System Dimension</w:t>
            </w:r>
          </w:p>
        </w:tc>
        <w:tc>
          <w:tcPr>
            <w:tcW w:type="dxa" w:w="4680"/>
            <w:shd w:fill="6B2030"/>
            <w:tcMar>
              <w:top w:w="100" w:type="dxa"/>
              <w:bottom w:w="100" w:type="dxa"/>
              <w:left w:w="120" w:type="dxa"/>
              <w:right w:w="120" w:type="dxa"/>
            </w:tcMar>
          </w:tcPr>
          <w:p>
            <w:pPr>
              <w:spacing w:after="0"/>
            </w:pPr>
            <w:r>
              <w:rPr>
                <w:b/>
                <w:color w:val="FFFFFF"/>
                <w:sz w:val="20"/>
              </w:rPr>
              <w:t>Design Specification &amp; Architectural Implementation</w:t>
            </w:r>
          </w:p>
        </w:tc>
      </w:tr>
      <w:tr>
        <w:tc>
          <w:tcPr>
            <w:tcW w:type="dxa" w:w="4680"/>
            <w:shd w:fill="F0EFEB"/>
            <w:tcMar>
              <w:top w:w="70" w:type="dxa"/>
              <w:bottom w:w="70" w:type="dxa"/>
              <w:left w:w="100" w:type="dxa"/>
              <w:right w:w="100" w:type="dxa"/>
            </w:tcMar>
          </w:tcPr>
          <w:p>
            <w:pPr>
              <w:spacing w:after="0"/>
            </w:pPr>
            <w:r>
              <w:rPr>
                <w:b/>
                <w:sz w:val="19"/>
              </w:rPr>
              <w:t>Identity &amp; Persona</w:t>
            </w:r>
          </w:p>
        </w:tc>
        <w:tc>
          <w:tcPr>
            <w:tcW w:type="dxa" w:w="4680"/>
            <w:shd w:fill="F0EFEB"/>
            <w:tcMar>
              <w:top w:w="70" w:type="dxa"/>
              <w:bottom w:w="70" w:type="dxa"/>
              <w:left w:w="100" w:type="dxa"/>
              <w:right w:w="100" w:type="dxa"/>
            </w:tcMar>
          </w:tcPr>
          <w:p>
            <w:pPr>
              <w:spacing w:after="0"/>
            </w:pPr>
            <w:r>
              <w:rPr>
                <w:sz w:val="19"/>
              </w:rPr>
              <w:t>Ola (奧拉 / ഓല) — An empathetic, warm, and highly knowledgeable female cultural companion. Speaks as an enthusiastic cultural ambassador using inclusive pronouns ('we', 'our heritage').</w:t>
            </w:r>
          </w:p>
        </w:tc>
      </w:tr>
      <w:tr>
        <w:tc>
          <w:tcPr>
            <w:tcW w:type="dxa" w:w="4680"/>
            <w:shd w:fill="FFFFFF"/>
            <w:tcMar>
              <w:top w:w="70" w:type="dxa"/>
              <w:bottom w:w="70" w:type="dxa"/>
              <w:left w:w="100" w:type="dxa"/>
              <w:right w:w="100" w:type="dxa"/>
            </w:tcMar>
          </w:tcPr>
          <w:p>
            <w:pPr>
              <w:spacing w:after="0"/>
            </w:pPr>
            <w:r>
              <w:rPr>
                <w:b/>
                <w:sz w:val="19"/>
              </w:rPr>
              <w:t>Hybrid Narrative Architecture</w:t>
            </w:r>
          </w:p>
        </w:tc>
        <w:tc>
          <w:tcPr>
            <w:tcW w:type="dxa" w:w="4680"/>
            <w:shd w:fill="FFFFFF"/>
            <w:tcMar>
              <w:top w:w="70" w:type="dxa"/>
              <w:bottom w:w="70" w:type="dxa"/>
              <w:left w:w="100" w:type="dxa"/>
              <w:right w:w="100" w:type="dxa"/>
            </w:tcMar>
          </w:tcPr>
          <w:p>
            <w:pPr>
              <w:spacing w:after="0"/>
            </w:pPr>
            <w:r>
              <w:rPr>
                <w:sz w:val="19"/>
              </w:rPr>
              <w:t>Phase 1: Concise 3–4 sentence scripted cultural story in Fungus. Phase 2: Open-ended Multimodal Voice &amp; Vision Q&amp;A powered by generative LLM backend.</w:t>
            </w:r>
          </w:p>
        </w:tc>
      </w:tr>
      <w:tr>
        <w:tc>
          <w:tcPr>
            <w:tcW w:type="dxa" w:w="4680"/>
            <w:shd w:fill="F0EFEB"/>
            <w:tcMar>
              <w:top w:w="70" w:type="dxa"/>
              <w:bottom w:w="70" w:type="dxa"/>
              <w:left w:w="100" w:type="dxa"/>
              <w:right w:w="100" w:type="dxa"/>
            </w:tcMar>
          </w:tcPr>
          <w:p>
            <w:pPr>
              <w:spacing w:after="0"/>
            </w:pPr>
            <w:r>
              <w:rPr>
                <w:b/>
                <w:sz w:val="19"/>
              </w:rPr>
              <w:t>Quadrilingual Voice Engine</w:t>
            </w:r>
          </w:p>
        </w:tc>
        <w:tc>
          <w:tcPr>
            <w:tcW w:type="dxa" w:w="4680"/>
            <w:shd w:fill="F0EFEB"/>
            <w:tcMar>
              <w:top w:w="70" w:type="dxa"/>
              <w:bottom w:w="70" w:type="dxa"/>
              <w:left w:w="100" w:type="dxa"/>
              <w:right w:w="100" w:type="dxa"/>
            </w:tcMar>
          </w:tcPr>
          <w:p>
            <w:pPr>
              <w:spacing w:after="0"/>
            </w:pPr>
            <w:r>
              <w:rPr>
                <w:sz w:val="19"/>
              </w:rPr>
              <w:t>Native audio voice acting in English, Traditional Chinese (Taiwanese Mandarin), Malayalam (Kerala native), and Vietnamese. Dynamic audio playback with auto-switching.</w:t>
            </w:r>
          </w:p>
        </w:tc>
      </w:tr>
      <w:tr>
        <w:tc>
          <w:tcPr>
            <w:tcW w:type="dxa" w:w="4680"/>
            <w:shd w:fill="FFFFFF"/>
            <w:tcMar>
              <w:top w:w="70" w:type="dxa"/>
              <w:bottom w:w="70" w:type="dxa"/>
              <w:left w:w="100" w:type="dxa"/>
              <w:right w:w="100" w:type="dxa"/>
            </w:tcMar>
          </w:tcPr>
          <w:p>
            <w:pPr>
              <w:spacing w:after="0"/>
            </w:pPr>
            <w:r>
              <w:rPr>
                <w:b/>
                <w:sz w:val="19"/>
              </w:rPr>
              <w:t>Real-Time Lip-Sync &amp; Animation</w:t>
            </w:r>
          </w:p>
        </w:tc>
        <w:tc>
          <w:tcPr>
            <w:tcW w:type="dxa" w:w="4680"/>
            <w:shd w:fill="FFFFFF"/>
            <w:tcMar>
              <w:top w:w="70" w:type="dxa"/>
              <w:bottom w:w="70" w:type="dxa"/>
              <w:left w:w="100" w:type="dxa"/>
              <w:right w:w="100" w:type="dxa"/>
            </w:tcMar>
          </w:tcPr>
          <w:p>
            <w:pPr>
              <w:spacing w:after="0"/>
            </w:pPr>
            <w:r>
              <w:rPr>
                <w:sz w:val="19"/>
              </w:rPr>
              <w:t>Automated synchronization of 3D character animation states (Idle, Wave, Talking) linked to runtime AudioSource amplitude and duration (Animator parameter 'Talk').</w:t>
            </w:r>
          </w:p>
        </w:tc>
      </w:tr>
      <w:tr>
        <w:tc>
          <w:tcPr>
            <w:tcW w:type="dxa" w:w="4680"/>
            <w:shd w:fill="F0EFEB"/>
            <w:tcMar>
              <w:top w:w="70" w:type="dxa"/>
              <w:bottom w:w="70" w:type="dxa"/>
              <w:left w:w="100" w:type="dxa"/>
              <w:right w:w="100" w:type="dxa"/>
            </w:tcMar>
          </w:tcPr>
          <w:p>
            <w:pPr>
              <w:spacing w:after="0"/>
            </w:pPr>
            <w:r>
              <w:rPr>
                <w:b/>
                <w:sz w:val="19"/>
              </w:rPr>
              <w:t>Adaptive AR World Anchoring</w:t>
            </w:r>
          </w:p>
        </w:tc>
        <w:tc>
          <w:tcPr>
            <w:tcW w:type="dxa" w:w="4680"/>
            <w:shd w:fill="F0EFEB"/>
            <w:tcMar>
              <w:top w:w="70" w:type="dxa"/>
              <w:bottom w:w="70" w:type="dxa"/>
              <w:left w:w="100" w:type="dxa"/>
              <w:right w:w="100" w:type="dxa"/>
            </w:tcMar>
          </w:tcPr>
          <w:p>
            <w:pPr>
              <w:spacing w:after="0"/>
            </w:pPr>
            <w:r>
              <w:rPr>
                <w:sz w:val="19"/>
              </w:rPr>
              <w:t>Spawns at image target center with automatic distance-based scale normalization (clamped 0.5x–8.0x) and facing orientation towards the AR camera.</w:t>
            </w:r>
          </w:p>
        </w:tc>
      </w:tr>
      <w:tr>
        <w:tc>
          <w:tcPr>
            <w:tcW w:type="dxa" w:w="4680"/>
            <w:shd w:fill="FFFFFF"/>
            <w:tcMar>
              <w:top w:w="70" w:type="dxa"/>
              <w:bottom w:w="70" w:type="dxa"/>
              <w:left w:w="100" w:type="dxa"/>
              <w:right w:w="100" w:type="dxa"/>
            </w:tcMar>
          </w:tcPr>
          <w:p>
            <w:pPr>
              <w:spacing w:after="0"/>
            </w:pPr>
            <w:r>
              <w:rPr>
                <w:b/>
                <w:sz w:val="19"/>
              </w:rPr>
              <w:t>Lost Tracking Grace Period</w:t>
            </w:r>
          </w:p>
        </w:tc>
        <w:tc>
          <w:tcPr>
            <w:tcW w:type="dxa" w:w="4680"/>
            <w:shd w:fill="FFFFFF"/>
            <w:tcMar>
              <w:top w:w="70" w:type="dxa"/>
              <w:bottom w:w="70" w:type="dxa"/>
              <w:left w:w="100" w:type="dxa"/>
              <w:right w:w="100" w:type="dxa"/>
            </w:tcMar>
          </w:tcPr>
          <w:p>
            <w:pPr>
              <w:spacing w:after="0"/>
            </w:pPr>
            <w:r>
              <w:rPr>
                <w:sz w:val="19"/>
              </w:rPr>
              <w:t>Built-in 2.5-second buffer (ARFungusDialogueTrigger &amp; ScanSceneAiUiGate) preventing dialogue resets during minor hand jitter or brief camera occlusion.</w:t>
            </w:r>
          </w:p>
        </w:tc>
      </w:tr>
    </w:tbl>
    <w:p>
      <w:pPr>
        <w:spacing w:after="120"/>
      </w:pPr>
    </w:p>
    <w:p>
      <w:pPr>
        <w:keepNext/>
        <w:spacing w:before="160" w:after="60"/>
      </w:pPr>
      <w:r>
        <w:rPr>
          <w:b/>
          <w:color w:val="8C6A1F"/>
          <w:sz w:val="24"/>
        </w:rPr>
        <w:t>5.3 Typography &amp; Dynamic Complex-Script Font Generation</w:t>
      </w:r>
    </w:p>
    <w:p>
      <w:r>
        <w:t>A major technical hurdle in developing a quadrilingual Indian-Taiwanese-Vietnamese system in Unity TextMeshPro is rendering non-Latin scripts (specifically Malayalam conjuncts and Traditional Chinese glyphs). The project implemented a custom Editor tool — OlaLanguageFontBuilder.cs — that compiles high-resolution Signed Distance Field (SDF) multi-atlas font assets on the fly for Noto Sans Malayalam (covering Unicode range U+0D00 to U+0D7F) and Noto Sans TC, ensuring crisp rendering at any mobile scaling factor.</w:t>
      </w:r>
    </w:p>
    <w:p>
      <w:pPr>
        <w:keepNext/>
        <w:spacing w:before="280" w:after="80"/>
      </w:pPr>
      <w:r>
        <w:rPr>
          <w:b/>
          <w:color w:val="6B2030"/>
          <w:sz w:val="28"/>
        </w:rPr>
        <w:t>06 — Cultural Pedagogical Curriculum &amp; Localization</w:t>
      </w:r>
    </w:p>
    <w:p>
      <w:r>
        <w:t>All cultural content was vetted through firsthand lived knowledge (co-author Avanthika is from Kerala) and cross-referenced with ethnographic publications, indigenous textile archives, and native language reviewers.</w:t>
        <w:br/>
        <w:br/>
        <w:t>Centralized Localization (Knowledge.json):</w:t>
        <w:br/>
        <w:t>The entire user interface, story narratives, and interactive tooltips are managed through a centralized multi-key dictionary (Knowledge.json) dynamically parsed at runtime by AIContextSwitcher.cs and LanguageManager.cs. Switching languages instantly updates dropdowns, navigation bars, story text blocks, audio voice streams, and AI prompt contexts without scene reloads.</w:t>
      </w:r>
    </w:p>
    <w:p>
      <w:pPr>
        <w:keepNext/>
        <w:spacing w:before="280" w:after="80"/>
      </w:pPr>
      <w:r>
        <w:rPr>
          <w:b/>
          <w:color w:val="6B2030"/>
          <w:sz w:val="28"/>
        </w:rPr>
        <w:t>07 — Gamification, Multimedia &amp; Retention Mechanics</w:t>
      </w:r>
    </w:p>
    <w:p>
      <w:pPr>
        <w:pStyle w:val="ListParagraph"/>
        <w:spacing w:after="60" w:line="276" w:lineRule="auto"/>
      </w:pPr>
      <w:r>
        <w:rPr>
          <w:b/>
          <w:color w:val="111111"/>
        </w:rPr>
        <w:t xml:space="preserve">1. The Digital Cultural Passport: </w:t>
      </w:r>
      <w:r>
        <w:t>Managed via PassportManager.cs. Tracks overall exploration metrics: percentage completion, stamps collected count, and distinct regional territories completed (Kerala, Taiwan, Vietnam). Includes a custom avatar selector featuring 12 traditional zodiac/cultural avatars.</w:t>
      </w:r>
    </w:p>
    <w:p>
      <w:pPr>
        <w:pStyle w:val="ListParagraph"/>
        <w:spacing w:after="60" w:line="276" w:lineRule="auto"/>
      </w:pPr>
      <w:r>
        <w:rPr>
          <w:b/>
          <w:color w:val="111111"/>
        </w:rPr>
        <w:t xml:space="preserve">2. Persistent Digital Stamps: </w:t>
      </w:r>
      <w:r>
        <w:t>Completing an AR interaction triggers StampManager.cs to persist PlayerPrefs keys (Stamp_&lt;TargetName&gt;). Collected stamps are rendered in full vibrant color across the passport album, whereas unvisited artifacts display faded locked outlines.</w:t>
      </w:r>
    </w:p>
    <w:p>
      <w:pPr>
        <w:pStyle w:val="ListParagraph"/>
        <w:spacing w:after="60" w:line="276" w:lineRule="auto"/>
      </w:pPr>
      <w:r>
        <w:rPr>
          <w:b/>
          <w:color w:val="111111"/>
        </w:rPr>
        <w:t xml:space="preserve">3. 3D Floating Interactive Artifacts: </w:t>
      </w:r>
      <w:r>
        <w:t>Built into ARFloatingItemSpawner.cs and FloatingItemInteractable.cs. When enabled, interactive 3D sub-elements (e.g., individual sadya dishes, festival drums, embroidery motifs) float off the card surface with physics-based touch interactions, zoom inspection, audio narrations, and floating TextMeshPro tooltips.</w:t>
      </w:r>
    </w:p>
    <w:p>
      <w:pPr>
        <w:pStyle w:val="ListParagraph"/>
        <w:spacing w:after="60" w:line="276" w:lineRule="auto"/>
      </w:pPr>
      <w:r>
        <w:rPr>
          <w:b/>
          <w:color w:val="111111"/>
        </w:rPr>
        <w:t xml:space="preserve">4. Cultural Documentary Video Player: </w:t>
      </w:r>
      <w:r>
        <w:t>Users can trigger embedded video playback mapped per target image (e.g., Kathakali performances, Dong Ky processions, Pingxi releases) directly within the AR canvas.</w:t>
      </w:r>
    </w:p>
    <w:p>
      <w:pPr>
        <w:pStyle w:val="ListParagraph"/>
        <w:spacing w:after="60" w:line="276" w:lineRule="auto"/>
      </w:pPr>
      <w:r>
        <w:rPr>
          <w:b/>
          <w:color w:val="111111"/>
        </w:rPr>
        <w:t xml:space="preserve">5. Tactile Flashcard Recall: </w:t>
      </w:r>
      <w:r>
        <w:t>Flipping physical cards in the assembled keychain conceals the artwork, showing only the uniform Ola backing — enabling self-directed cultural recall testing with zero device battery consumption.</w:t>
      </w:r>
    </w:p>
    <w:p>
      <w:pPr>
        <w:keepNext/>
        <w:spacing w:before="280" w:after="80"/>
      </w:pPr>
      <w:r>
        <w:rPr>
          <w:b/>
          <w:color w:val="6B2030"/>
          <w:sz w:val="28"/>
        </w:rPr>
        <w:t>08 — Technical Implementation &amp; System Architecture</w:t>
      </w:r>
    </w:p>
    <w:p>
      <w:pPr>
        <w:keepNext/>
        <w:spacing w:before="160" w:after="60"/>
      </w:pPr>
      <w:r>
        <w:rPr>
          <w:b/>
          <w:color w:val="8C6A1F"/>
          <w:sz w:val="24"/>
        </w:rPr>
        <w:t>8.1 End-to-End System Architecture</w:t>
      </w:r>
    </w:p>
    <w:p>
      <w:r>
        <w:t>The Ola system operates as a hybrid edge-cloud architecture combining low-latency local AR tracking with cloud-assisted multimodal AI intelligence:</w:t>
        <w:br/>
        <w:t>1. Edge Client (Unity AR Foundation): Manages 60 FPS camera feed, planar feature tracking, and image target recognition via ARTrackedImageManager.</w:t>
        <w:br/>
        <w:t>2. Dialogue Orchestrator (ScanSceneAiUiGate &amp; Fungus): Triggers introductory narrative blocks upon stable tracking detection; seamlessly activates AI UI panels upon dialogue completion.</w:t>
        <w:br/>
        <w:t>3. Multimodal Voice &amp; Vision Ingestion (AiNpcQuestionController): On user voice prompt, records uncompressed WAV audio (Microphone API) and captures the current reference target texture (RenderTexture blit to JPG base64).</w:t>
        <w:br/>
        <w:t>4. AI Gateway &amp; Dynamic RAG Server: Dispatches payload to the /ask endpoint. The backend server injects dynamic RAG cultural prompts (TargetRagContext) matching the scanned target, returning synthesized text and audio speech URLs.</w:t>
        <w:br/>
        <w:t>5. Runtime Synthesis &amp; Lip-Sync: UnityWebRequest streams back synthesized MPEG audio, triggering audio playback and synchronized 3D avatar jaw animations in real time.</w:t>
      </w:r>
    </w:p>
    <w:p>
      <w:pPr>
        <w:keepNext/>
        <w:spacing w:before="160" w:after="60"/>
      </w:pPr>
      <w:r>
        <w:rPr>
          <w:b/>
          <w:color w:val="8C6A1F"/>
          <w:sz w:val="24"/>
        </w:rPr>
        <w:t>8.2 Production Core C# Script Directory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shd w:fill="6B2030"/>
            <w:tcMar>
              <w:top w:w="100" w:type="dxa"/>
              <w:bottom w:w="100" w:type="dxa"/>
              <w:left w:w="120" w:type="dxa"/>
              <w:right w:w="120" w:type="dxa"/>
            </w:tcMar>
          </w:tcPr>
          <w:p>
            <w:pPr>
              <w:spacing w:after="0"/>
            </w:pPr>
            <w:r>
              <w:rPr>
                <w:b/>
                <w:color w:val="FFFFFF"/>
                <w:sz w:val="20"/>
              </w:rPr>
              <w:t>Script File Name</w:t>
            </w:r>
          </w:p>
        </w:tc>
        <w:tc>
          <w:tcPr>
            <w:tcW w:type="dxa" w:w="4680"/>
            <w:shd w:fill="6B2030"/>
            <w:tcMar>
              <w:top w:w="100" w:type="dxa"/>
              <w:bottom w:w="100" w:type="dxa"/>
              <w:left w:w="120" w:type="dxa"/>
              <w:right w:w="120" w:type="dxa"/>
            </w:tcMar>
          </w:tcPr>
          <w:p>
            <w:pPr>
              <w:spacing w:after="0"/>
            </w:pPr>
            <w:r>
              <w:rPr>
                <w:b/>
                <w:color w:val="FFFFFF"/>
                <w:sz w:val="20"/>
              </w:rPr>
              <w:t>Architectural Responsibility &amp; Key Methods</w:t>
            </w:r>
          </w:p>
        </w:tc>
      </w:tr>
      <w:tr>
        <w:tc>
          <w:tcPr>
            <w:tcW w:type="dxa" w:w="4680"/>
            <w:shd w:fill="F0EFEB"/>
            <w:tcMar>
              <w:top w:w="70" w:type="dxa"/>
              <w:bottom w:w="70" w:type="dxa"/>
              <w:left w:w="100" w:type="dxa"/>
              <w:right w:w="100" w:type="dxa"/>
            </w:tcMar>
          </w:tcPr>
          <w:p>
            <w:pPr>
              <w:spacing w:after="0"/>
            </w:pPr>
            <w:r>
              <w:rPr>
                <w:b/>
                <w:sz w:val="19"/>
              </w:rPr>
              <w:t>ARImageScanManager.cs</w:t>
            </w:r>
          </w:p>
        </w:tc>
        <w:tc>
          <w:tcPr>
            <w:tcW w:type="dxa" w:w="4680"/>
            <w:shd w:fill="F0EFEB"/>
            <w:tcMar>
              <w:top w:w="70" w:type="dxa"/>
              <w:bottom w:w="70" w:type="dxa"/>
              <w:left w:w="100" w:type="dxa"/>
              <w:right w:w="100" w:type="dxa"/>
            </w:tcMar>
          </w:tcPr>
          <w:p>
            <w:pPr>
              <w:spacing w:after="0"/>
            </w:pPr>
            <w:r>
              <w:rPr>
                <w:sz w:val="19"/>
              </w:rPr>
              <w:t>Detects ARTrackedImage events, instantiates 3D guide avatar prefabs, calculates camera-distance auto-scaling (GetTrackedImageScaleMultiplier), and manages tracking lifecycle.</w:t>
            </w:r>
          </w:p>
        </w:tc>
      </w:tr>
      <w:tr>
        <w:tc>
          <w:tcPr>
            <w:tcW w:type="dxa" w:w="4680"/>
            <w:shd w:fill="FFFFFF"/>
            <w:tcMar>
              <w:top w:w="70" w:type="dxa"/>
              <w:bottom w:w="70" w:type="dxa"/>
              <w:left w:w="100" w:type="dxa"/>
              <w:right w:w="100" w:type="dxa"/>
            </w:tcMar>
          </w:tcPr>
          <w:p>
            <w:pPr>
              <w:spacing w:after="0"/>
            </w:pPr>
            <w:r>
              <w:rPr>
                <w:b/>
                <w:sz w:val="19"/>
              </w:rPr>
              <w:t>ARFungusDialogueTrigger.cs</w:t>
            </w:r>
          </w:p>
        </w:tc>
        <w:tc>
          <w:tcPr>
            <w:tcW w:type="dxa" w:w="4680"/>
            <w:shd w:fill="FFFFFF"/>
            <w:tcMar>
              <w:top w:w="70" w:type="dxa"/>
              <w:bottom w:w="70" w:type="dxa"/>
              <w:left w:w="100" w:type="dxa"/>
              <w:right w:w="100" w:type="dxa"/>
            </w:tcMar>
          </w:tcPr>
          <w:p>
            <w:pPr>
              <w:spacing w:after="0"/>
            </w:pPr>
            <w:r>
              <w:rPr>
                <w:sz w:val="19"/>
              </w:rPr>
              <w:t>Maps tracked image targets to Fungus Flowchart blocks; implements a 2.5s lost-tracking grace period to prevent jarring narrative cutoffs during camera shifts.</w:t>
            </w:r>
          </w:p>
        </w:tc>
      </w:tr>
      <w:tr>
        <w:tc>
          <w:tcPr>
            <w:tcW w:type="dxa" w:w="4680"/>
            <w:shd w:fill="F0EFEB"/>
            <w:tcMar>
              <w:top w:w="70" w:type="dxa"/>
              <w:bottom w:w="70" w:type="dxa"/>
              <w:left w:w="100" w:type="dxa"/>
              <w:right w:w="100" w:type="dxa"/>
            </w:tcMar>
          </w:tcPr>
          <w:p>
            <w:pPr>
              <w:spacing w:after="0"/>
            </w:pPr>
            <w:r>
              <w:rPr>
                <w:b/>
                <w:sz w:val="19"/>
              </w:rPr>
              <w:t>AiNpcQuestionController.cs</w:t>
            </w:r>
          </w:p>
        </w:tc>
        <w:tc>
          <w:tcPr>
            <w:tcW w:type="dxa" w:w="4680"/>
            <w:shd w:fill="F0EFEB"/>
            <w:tcMar>
              <w:top w:w="70" w:type="dxa"/>
              <w:bottom w:w="70" w:type="dxa"/>
              <w:left w:w="100" w:type="dxa"/>
              <w:right w:w="100" w:type="dxa"/>
            </w:tcMar>
          </w:tcPr>
          <w:p>
            <w:pPr>
              <w:spacing w:after="0"/>
            </w:pPr>
            <w:r>
              <w:rPr>
                <w:sz w:val="19"/>
              </w:rPr>
              <w:t>Full Multimodal AI core: Manages microphone recording, vision target encoding, RAG context selection for 10+ cultural targets, REST API communication, typewriter UI formatting, dynamic ScrollView layout generation, and 3D lip-sync animation.</w:t>
            </w:r>
          </w:p>
        </w:tc>
      </w:tr>
      <w:tr>
        <w:tc>
          <w:tcPr>
            <w:tcW w:type="dxa" w:w="4680"/>
            <w:shd w:fill="FFFFFF"/>
            <w:tcMar>
              <w:top w:w="70" w:type="dxa"/>
              <w:bottom w:w="70" w:type="dxa"/>
              <w:left w:w="100" w:type="dxa"/>
              <w:right w:w="100" w:type="dxa"/>
            </w:tcMar>
          </w:tcPr>
          <w:p>
            <w:pPr>
              <w:spacing w:after="0"/>
            </w:pPr>
            <w:r>
              <w:rPr>
                <w:b/>
                <w:sz w:val="19"/>
              </w:rPr>
              <w:t>ScanSceneAiUiGate.cs</w:t>
            </w:r>
          </w:p>
        </w:tc>
        <w:tc>
          <w:tcPr>
            <w:tcW w:type="dxa" w:w="4680"/>
            <w:shd w:fill="FFFFFF"/>
            <w:tcMar>
              <w:top w:w="70" w:type="dxa"/>
              <w:bottom w:w="70" w:type="dxa"/>
              <w:left w:w="100" w:type="dxa"/>
              <w:right w:w="100" w:type="dxa"/>
            </w:tcMar>
          </w:tcPr>
          <w:p>
            <w:pPr>
              <w:spacing w:after="0"/>
            </w:pPr>
            <w:r>
              <w:rPr>
                <w:sz w:val="19"/>
              </w:rPr>
              <w:t>Coordinates event state machines between Fungus scripted intros and open AI voice chat; manages UI hide/show transitions with debounce timers.</w:t>
            </w:r>
          </w:p>
        </w:tc>
      </w:tr>
      <w:tr>
        <w:tc>
          <w:tcPr>
            <w:tcW w:type="dxa" w:w="4680"/>
            <w:shd w:fill="F0EFEB"/>
            <w:tcMar>
              <w:top w:w="70" w:type="dxa"/>
              <w:bottom w:w="70" w:type="dxa"/>
              <w:left w:w="100" w:type="dxa"/>
              <w:right w:w="100" w:type="dxa"/>
            </w:tcMar>
          </w:tcPr>
          <w:p>
            <w:pPr>
              <w:spacing w:after="0"/>
            </w:pPr>
            <w:r>
              <w:rPr>
                <w:b/>
                <w:sz w:val="19"/>
              </w:rPr>
              <w:t>PassportManager.cs &amp; StampManager.cs</w:t>
            </w:r>
          </w:p>
        </w:tc>
        <w:tc>
          <w:tcPr>
            <w:tcW w:type="dxa" w:w="4680"/>
            <w:shd w:fill="F0EFEB"/>
            <w:tcMar>
              <w:top w:w="70" w:type="dxa"/>
              <w:bottom w:w="70" w:type="dxa"/>
              <w:left w:w="100" w:type="dxa"/>
              <w:right w:w="100" w:type="dxa"/>
            </w:tcMar>
          </w:tcPr>
          <w:p>
            <w:pPr>
              <w:spacing w:after="0"/>
            </w:pPr>
            <w:r>
              <w:rPr>
                <w:sz w:val="19"/>
              </w:rPr>
              <w:t>Manages persistent user profile, 12-zodiac avatar selector, real-time regional exploration percentages, and digital stamp unlocking via PlayerPrefs.</w:t>
            </w:r>
          </w:p>
        </w:tc>
      </w:tr>
      <w:tr>
        <w:tc>
          <w:tcPr>
            <w:tcW w:type="dxa" w:w="4680"/>
            <w:shd w:fill="FFFFFF"/>
            <w:tcMar>
              <w:top w:w="70" w:type="dxa"/>
              <w:bottom w:w="70" w:type="dxa"/>
              <w:left w:w="100" w:type="dxa"/>
              <w:right w:w="100" w:type="dxa"/>
            </w:tcMar>
          </w:tcPr>
          <w:p>
            <w:pPr>
              <w:spacing w:after="0"/>
            </w:pPr>
            <w:r>
              <w:rPr>
                <w:b/>
                <w:sz w:val="19"/>
              </w:rPr>
              <w:t>AIContextSwitcher.cs &amp; LanguageManager.cs</w:t>
            </w:r>
          </w:p>
        </w:tc>
        <w:tc>
          <w:tcPr>
            <w:tcW w:type="dxa" w:w="4680"/>
            <w:shd w:fill="FFFFFF"/>
            <w:tcMar>
              <w:top w:w="70" w:type="dxa"/>
              <w:bottom w:w="70" w:type="dxa"/>
              <w:left w:w="100" w:type="dxa"/>
              <w:right w:w="100" w:type="dxa"/>
            </w:tcMar>
          </w:tcPr>
          <w:p>
            <w:pPr>
              <w:spacing w:after="0"/>
            </w:pPr>
            <w:r>
              <w:rPr>
                <w:sz w:val="19"/>
              </w:rPr>
              <w:t>Centralized 4-language runtime localization (EN, ZH-TW, ML, VI) using Knowledge.json, dynamic font switching, and regional content filtering.</w:t>
            </w:r>
          </w:p>
        </w:tc>
      </w:tr>
      <w:tr>
        <w:tc>
          <w:tcPr>
            <w:tcW w:type="dxa" w:w="4680"/>
            <w:shd w:fill="F0EFEB"/>
            <w:tcMar>
              <w:top w:w="70" w:type="dxa"/>
              <w:bottom w:w="70" w:type="dxa"/>
              <w:left w:w="100" w:type="dxa"/>
              <w:right w:w="100" w:type="dxa"/>
            </w:tcMar>
          </w:tcPr>
          <w:p>
            <w:pPr>
              <w:spacing w:after="0"/>
            </w:pPr>
            <w:r>
              <w:rPr>
                <w:b/>
                <w:sz w:val="19"/>
              </w:rPr>
              <w:t>ARFloatingItemSpawner.cs &amp; FloatingItemInteractable.cs</w:t>
            </w:r>
          </w:p>
        </w:tc>
        <w:tc>
          <w:tcPr>
            <w:tcW w:type="dxa" w:w="4680"/>
            <w:shd w:fill="F0EFEB"/>
            <w:tcMar>
              <w:top w:w="70" w:type="dxa"/>
              <w:bottom w:w="70" w:type="dxa"/>
              <w:left w:w="100" w:type="dxa"/>
              <w:right w:w="100" w:type="dxa"/>
            </w:tcMar>
          </w:tcPr>
          <w:p>
            <w:pPr>
              <w:spacing w:after="0"/>
            </w:pPr>
            <w:r>
              <w:rPr>
                <w:sz w:val="19"/>
              </w:rPr>
              <w:t>Spawns interactive 3D sub-elements with animated sprite sequences, touch-drag physics, proximity zoom, and spatial audio tooltips.</w:t>
            </w:r>
          </w:p>
        </w:tc>
      </w:tr>
      <w:tr>
        <w:tc>
          <w:tcPr>
            <w:tcW w:type="dxa" w:w="4680"/>
            <w:shd w:fill="FFFFFF"/>
            <w:tcMar>
              <w:top w:w="70" w:type="dxa"/>
              <w:bottom w:w="70" w:type="dxa"/>
              <w:left w:w="100" w:type="dxa"/>
              <w:right w:w="100" w:type="dxa"/>
            </w:tcMar>
          </w:tcPr>
          <w:p>
            <w:pPr>
              <w:spacing w:after="0"/>
            </w:pPr>
            <w:r>
              <w:rPr>
                <w:b/>
                <w:sz w:val="19"/>
              </w:rPr>
              <w:t>OlaFullAppUIGenerator.cs &amp; OlaLanguageFontBuilder.cs</w:t>
            </w:r>
          </w:p>
        </w:tc>
        <w:tc>
          <w:tcPr>
            <w:tcW w:type="dxa" w:w="4680"/>
            <w:shd w:fill="FFFFFF"/>
            <w:tcMar>
              <w:top w:w="70" w:type="dxa"/>
              <w:bottom w:w="70" w:type="dxa"/>
              <w:left w:w="100" w:type="dxa"/>
              <w:right w:w="100" w:type="dxa"/>
            </w:tcMar>
          </w:tcPr>
          <w:p>
            <w:pPr>
              <w:spacing w:after="0"/>
            </w:pPr>
            <w:r>
              <w:rPr>
                <w:sz w:val="19"/>
              </w:rPr>
              <w:t>Custom Unity Editor tooling for automated UI canvas scaffolding and dynamic TextMeshPro SDF Font generation for Malayalam and Traditional Chinese glyphs.</w:t>
            </w:r>
          </w:p>
        </w:tc>
      </w:tr>
    </w:tbl>
    <w:p>
      <w:pPr>
        <w:spacing w:after="120"/>
      </w:pPr>
    </w:p>
    <w:p>
      <w:pPr>
        <w:keepNext/>
        <w:spacing w:before="280" w:after="80"/>
      </w:pPr>
      <w:r>
        <w:rPr>
          <w:b/>
          <w:color w:val="6B2030"/>
          <w:sz w:val="28"/>
        </w:rPr>
        <w:t>09 — Companion Web Analytics &amp; Exhibition Platform</w:t>
      </w:r>
    </w:p>
    <w:p>
      <w:r>
        <w:t>To extend Ola into public exhibition venues, galleries, and school classrooms, the repository includes a companion web dashboard (website/app.py) built in Streamlit, Pandas, and Plotly:</w:t>
        <w:br/>
        <w:t>• Quadrilingual Virtual Gallery: Online digital exhibition showcasing high-resolution artwork scans with four-language descriptions.</w:t>
        <w:br/>
        <w:t>• Live Telemetry Analytics: Real-time Plotly bar charts visualizing AR scan counts and interaction frequency per cultural artwork, providing curators with actionable engagement metrics.</w:t>
        <w:br/>
        <w:t>• Digital Guestbook: Real-time visitor feedback log capturing international reflections on cross-cultural learning.</w:t>
      </w:r>
    </w:p>
    <w:p>
      <w:pPr>
        <w:keepNext/>
        <w:spacing w:before="280" w:after="80"/>
      </w:pPr>
      <w:r>
        <w:rPr>
          <w:b/>
          <w:color w:val="6B2030"/>
          <w:sz w:val="28"/>
        </w:rPr>
        <w:t>10 — Design Process &amp; Iterative Evolution</w:t>
      </w:r>
    </w:p>
    <w:p>
      <w:r>
        <w:t>The system underwent four significant evolutionary iterations over the three-month development cycle:</w:t>
        <w:br/>
        <w:t>• Version 1.0 (Basic AR Trigger): Generic 3D model overlays on standard QR codes. Lacked emotional resonance and physical retention value.</w:t>
        <w:br/>
        <w:t>• Version 2.0 (Kerala Mural Cards): Introduced bespoke mural-style physical cards and scripted Fungus storytelling. Physical cards proved highly captivating.</w:t>
        <w:br/>
        <w:t>• Version 3.0 (3×3 Physical Ecosystem): Expanded to Taiwan and Vietnam across three universal anchors (Food, Festival, Attire). Designed sachets, mini zines, and the tool-free DIY keychain mechanism.</w:t>
        <w:br/>
        <w:t>• Version 4.0 (Production Multimodal AI &amp; Passport Platform): Implemented real-time Voice/Vision AI NPC guide, dynamic RAG, quadrilingual localization with native Malayalam SDF font generation, Cultural Passport stamp system, 3D floating artifact exploration, and Streamlit telemetry dashboard.</w:t>
      </w:r>
    </w:p>
    <w:p>
      <w:pPr>
        <w:keepNext/>
        <w:spacing w:before="280" w:after="80"/>
      </w:pPr>
      <w:r>
        <w:rPr>
          <w:b/>
          <w:color w:val="6B2030"/>
          <w:sz w:val="28"/>
        </w:rPr>
        <w:t>11 — Team and Contributions</w:t>
      </w:r>
    </w:p>
    <w:p>
      <w:r>
        <w:t>The project was executed collaboratively throughout the three-month internship, leveraging individual strengths across design, ethnography, and technical software engineering: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6B2030"/>
            <w:tcMar>
              <w:top w:w="100" w:type="dxa"/>
              <w:bottom w:w="100" w:type="dxa"/>
              <w:left w:w="120" w:type="dxa"/>
              <w:right w:w="120" w:type="dxa"/>
            </w:tcMar>
          </w:tcPr>
          <w:p>
            <w:pPr>
              <w:spacing w:after="0"/>
            </w:pPr>
            <w:r>
              <w:rPr>
                <w:b/>
                <w:color w:val="FFFFFF"/>
                <w:sz w:val="20"/>
              </w:rPr>
              <w:t>Team Member</w:t>
            </w:r>
          </w:p>
        </w:tc>
        <w:tc>
          <w:tcPr>
            <w:tcW w:type="dxa" w:w="3120"/>
            <w:shd w:fill="6B2030"/>
            <w:tcMar>
              <w:top w:w="100" w:type="dxa"/>
              <w:bottom w:w="100" w:type="dxa"/>
              <w:left w:w="120" w:type="dxa"/>
              <w:right w:w="120" w:type="dxa"/>
            </w:tcMar>
          </w:tcPr>
          <w:p>
            <w:pPr>
              <w:spacing w:after="0"/>
            </w:pPr>
            <w:r>
              <w:rPr>
                <w:b/>
                <w:color w:val="FFFFFF"/>
                <w:sz w:val="20"/>
              </w:rPr>
              <w:t>Primary Responsibility</w:t>
            </w:r>
          </w:p>
        </w:tc>
        <w:tc>
          <w:tcPr>
            <w:tcW w:type="dxa" w:w="3120"/>
            <w:shd w:fill="6B2030"/>
            <w:tcMar>
              <w:top w:w="100" w:type="dxa"/>
              <w:bottom w:w="100" w:type="dxa"/>
              <w:left w:w="120" w:type="dxa"/>
              <w:right w:w="120" w:type="dxa"/>
            </w:tcMar>
          </w:tcPr>
          <w:p>
            <w:pPr>
              <w:spacing w:after="0"/>
            </w:pPr>
            <w:r>
              <w:rPr>
                <w:b/>
                <w:color w:val="FFFFFF"/>
                <w:sz w:val="20"/>
              </w:rPr>
              <w:t>Key Contributions &amp; Deliverables</w:t>
            </w:r>
          </w:p>
        </w:tc>
      </w:tr>
      <w:tr>
        <w:tc>
          <w:tcPr>
            <w:tcW w:type="dxa" w:w="3120"/>
            <w:shd w:fill="F0EFEB"/>
            <w:tcMar>
              <w:top w:w="70" w:type="dxa"/>
              <w:bottom w:w="70" w:type="dxa"/>
              <w:left w:w="100" w:type="dxa"/>
              <w:right w:w="100" w:type="dxa"/>
            </w:tcMar>
          </w:tcPr>
          <w:p>
            <w:pPr>
              <w:spacing w:after="0"/>
            </w:pPr>
            <w:r>
              <w:rPr>
                <w:b/>
                <w:sz w:val="19"/>
              </w:rPr>
              <w:t>Avanthika</w:t>
            </w:r>
          </w:p>
        </w:tc>
        <w:tc>
          <w:tcPr>
            <w:tcW w:type="dxa" w:w="3120"/>
            <w:shd w:fill="F0EFEB"/>
            <w:tcMar>
              <w:top w:w="70" w:type="dxa"/>
              <w:bottom w:w="70" w:type="dxa"/>
              <w:left w:w="100" w:type="dxa"/>
              <w:right w:w="100" w:type="dxa"/>
            </w:tcMar>
          </w:tcPr>
          <w:p>
            <w:pPr>
              <w:spacing w:after="0"/>
            </w:pPr>
            <w:r>
              <w:rPr>
                <w:sz w:val="19"/>
              </w:rPr>
              <w:t>Concept, Cultural Research, Physical Design &amp; UI/UX</w:t>
            </w:r>
          </w:p>
        </w:tc>
        <w:tc>
          <w:tcPr>
            <w:tcW w:type="dxa" w:w="3120"/>
            <w:shd w:fill="F0EFEB"/>
            <w:tcMar>
              <w:top w:w="70" w:type="dxa"/>
              <w:bottom w:w="70" w:type="dxa"/>
              <w:left w:w="100" w:type="dxa"/>
              <w:right w:w="100" w:type="dxa"/>
            </w:tcMar>
          </w:tcPr>
          <w:p>
            <w:pPr>
              <w:spacing w:after="0"/>
            </w:pPr>
            <w:r>
              <w:rPr>
                <w:sz w:val="18"/>
              </w:rPr>
              <w:t>• Originator of the Ola palm-leaf thesis and cross-cultural conceptual framework.</w:t>
              <w:br/>
              <w:t>• Lead cultural researcher: Curated facts and scripted narratives for all 9 cards.</w:t>
              <w:br/>
              <w:t>• Physical artifact design: Packaging sachet layouts, card illustration briefs, mini zine structure, and DIY keychain lark's head mechanics.</w:t>
              <w:br/>
              <w:t>• Figma Design System: Lo-fi wireframes, hi-fi mockups, WCAG AA color accessibility, typography tokens, and project documentation.</w:t>
            </w:r>
          </w:p>
        </w:tc>
      </w:tr>
      <w:tr>
        <w:tc>
          <w:tcPr>
            <w:tcW w:type="dxa" w:w="3120"/>
            <w:shd w:fill="FFFFFF"/>
            <w:tcMar>
              <w:top w:w="70" w:type="dxa"/>
              <w:bottom w:w="70" w:type="dxa"/>
              <w:left w:w="100" w:type="dxa"/>
              <w:right w:w="100" w:type="dxa"/>
            </w:tcMar>
          </w:tcPr>
          <w:p>
            <w:pPr>
              <w:spacing w:after="0"/>
            </w:pPr>
            <w:r>
              <w:rPr>
                <w:b/>
                <w:sz w:val="19"/>
              </w:rPr>
              <w:t>HA</w:t>
            </w:r>
          </w:p>
        </w:tc>
        <w:tc>
          <w:tcPr>
            <w:tcW w:type="dxa" w:w="3120"/>
            <w:shd w:fill="FFFFFF"/>
            <w:tcMar>
              <w:top w:w="70" w:type="dxa"/>
              <w:bottom w:w="70" w:type="dxa"/>
              <w:left w:w="100" w:type="dxa"/>
              <w:right w:w="100" w:type="dxa"/>
            </w:tcMar>
          </w:tcPr>
          <w:p>
            <w:pPr>
              <w:spacing w:after="0"/>
            </w:pPr>
            <w:r>
              <w:rPr>
                <w:sz w:val="19"/>
              </w:rPr>
              <w:t>AR Foundation, Multimodal AI, Systems Architecture &amp; Execution</w:t>
            </w:r>
          </w:p>
        </w:tc>
        <w:tc>
          <w:tcPr>
            <w:tcW w:type="dxa" w:w="3120"/>
            <w:shd w:fill="FFFFFF"/>
            <w:tcMar>
              <w:top w:w="70" w:type="dxa"/>
              <w:bottom w:w="70" w:type="dxa"/>
              <w:left w:w="100" w:type="dxa"/>
              <w:right w:w="100" w:type="dxa"/>
            </w:tcMar>
          </w:tcPr>
          <w:p>
            <w:pPr>
              <w:spacing w:after="0"/>
            </w:pPr>
            <w:r>
              <w:rPr>
                <w:sz w:val="18"/>
              </w:rPr>
              <w:t>• Unity project architecture, Android build configuration, and AR Foundation tracking pipeline with distance scaling and tracking stabilizers.</w:t>
              <w:br/>
              <w:t>• Multimodal AI Engine: Built speech recording (Mic STT), vision target encoding, dynamic RAG prompt injection, and audio TTS streaming.</w:t>
              <w:br/>
              <w:t>• Animation &amp; Lip-Sync: Synchronized 3D NPC facial animations with dynamic runtime audio.</w:t>
              <w:br/>
              <w:t>• Quadrilingual Localization &amp; Tooling: Built Knowledge.json dictionary parser, 4-language audio managers, and automated TMP SDF Font Builder for Malayalam &amp; Chinese.</w:t>
              <w:br/>
              <w:t>• Gamification &amp; Web Telemetry: Implemented Cultural Passport, Stamp System, 3D Floating Spawner, Magazine UI Generator, and Streamlit analytics dashboard.</w:t>
            </w:r>
          </w:p>
        </w:tc>
      </w:tr>
    </w:tbl>
    <w:p>
      <w:pPr>
        <w:spacing w:after="120"/>
      </w:pPr>
    </w:p>
    <w:p>
      <w:pPr>
        <w:keepNext/>
        <w:spacing w:before="280" w:after="80"/>
      </w:pPr>
      <w:r>
        <w:rPr>
          <w:b/>
          <w:color w:val="6B2030"/>
          <w:sz w:val="28"/>
        </w:rPr>
        <w:t>12 — Current Build Scope &amp; Future Roadmap</w:t>
      </w:r>
    </w:p>
    <w:p>
      <w:pPr>
        <w:keepNext/>
        <w:spacing w:before="160" w:after="60"/>
      </w:pPr>
      <w:r>
        <w:rPr>
          <w:b/>
          <w:color w:val="8C6A1F"/>
          <w:sz w:val="24"/>
        </w:rPr>
        <w:t>12.1 Completed Production Capabilities (What is Built)</w:t>
      </w:r>
    </w:p>
    <w:p>
      <w:pPr>
        <w:pStyle w:val="ListParagraph"/>
        <w:spacing w:after="60" w:line="276" w:lineRule="auto"/>
      </w:pPr>
      <w:r>
        <w:rPr>
          <w:b/>
          <w:color w:val="111111"/>
        </w:rPr>
        <w:t xml:space="preserve">• Full 3-Culture AR Integration: </w:t>
      </w:r>
      <w:r>
        <w:t>All 9 cultural targets (Kerala, Taiwan, Vietnam) + Dong Ho folk art are fully mapped with AR tracking, Fungus narratives, 4-language audio, and RAG knowledge bases.</w:t>
      </w:r>
    </w:p>
    <w:p>
      <w:pPr>
        <w:pStyle w:val="ListParagraph"/>
        <w:spacing w:after="60" w:line="276" w:lineRule="auto"/>
      </w:pPr>
      <w:r>
        <w:rPr>
          <w:b/>
          <w:color w:val="111111"/>
        </w:rPr>
        <w:t xml:space="preserve">• Working Multimodal Voice/Vision AI: </w:t>
      </w:r>
      <w:r>
        <w:t>Interactive live voice Q&amp;A, vision target transmission, dynamic backend RAG, streaming TTS, and 3D lip-sync animation.</w:t>
      </w:r>
    </w:p>
    <w:p>
      <w:pPr>
        <w:pStyle w:val="ListParagraph"/>
        <w:spacing w:after="60" w:line="276" w:lineRule="auto"/>
      </w:pPr>
      <w:r>
        <w:rPr>
          <w:b/>
          <w:color w:val="111111"/>
        </w:rPr>
        <w:t xml:space="preserve">• Cultural Passport &amp; Stamp System: </w:t>
      </w:r>
      <w:r>
        <w:t>Fully persistent user profile, 12 avatars, regional progress calculation, and stamp album.</w:t>
      </w:r>
    </w:p>
    <w:p>
      <w:pPr>
        <w:pStyle w:val="ListParagraph"/>
        <w:spacing w:after="60" w:line="276" w:lineRule="auto"/>
      </w:pPr>
      <w:r>
        <w:rPr>
          <w:b/>
          <w:color w:val="111111"/>
        </w:rPr>
        <w:t xml:space="preserve">• Physical Artifact Suite: </w:t>
      </w:r>
      <w:r>
        <w:t>Printed mural cards, folded accordion zines, sachet envelopes, and assembled DIY keychains.</w:t>
      </w:r>
    </w:p>
    <w:p>
      <w:pPr>
        <w:pStyle w:val="ListParagraph"/>
        <w:spacing w:after="60" w:line="276" w:lineRule="auto"/>
      </w:pPr>
      <w:r>
        <w:rPr>
          <w:b/>
          <w:color w:val="111111"/>
        </w:rPr>
        <w:t xml:space="preserve">• Companion Web Telemetry Platform: </w:t>
      </w:r>
      <w:r>
        <w:t>Live Streamlit web app with multi-language virtual gallery, scan telemetry analytics, and guestbook.</w:t>
      </w:r>
    </w:p>
    <w:p>
      <w:pPr>
        <w:keepNext/>
        <w:spacing w:before="160" w:after="60"/>
      </w:pPr>
      <w:r>
        <w:rPr>
          <w:b/>
          <w:color w:val="8C6A1F"/>
          <w:sz w:val="24"/>
        </w:rPr>
        <w:t>12.2 Strategic Future Roadmap (Post-Internship Horizons)</w:t>
      </w:r>
    </w:p>
    <w:p>
      <w:pPr>
        <w:pStyle w:val="ListParagraph"/>
        <w:spacing w:after="60" w:line="276" w:lineRule="auto"/>
      </w:pPr>
      <w:r>
        <w:rPr>
          <w:b/>
          <w:color w:val="111111"/>
        </w:rPr>
        <w:t xml:space="preserve">• Cloud API Middleware Deployment: </w:t>
      </w:r>
      <w:r>
        <w:t>Migrating local AI gateway to serverless cloud infrastructure (e.g., AWS Lambda / GCP Cloud Run) with sub-second response latency for concurrent multi-user museum deployments.</w:t>
      </w:r>
    </w:p>
    <w:p>
      <w:pPr>
        <w:pStyle w:val="ListParagraph"/>
        <w:spacing w:after="60" w:line="276" w:lineRule="auto"/>
      </w:pPr>
      <w:r>
        <w:rPr>
          <w:b/>
          <w:color w:val="111111"/>
        </w:rPr>
        <w:t xml:space="preserve">• WebXR &amp; App-Free AR: </w:t>
      </w:r>
      <w:r>
        <w:t>Developing a browser-based WebXR client allowing museum visitors to scan and experience cards instantly via mobile web without APK installation.</w:t>
      </w:r>
    </w:p>
    <w:p>
      <w:pPr>
        <w:pStyle w:val="ListParagraph"/>
        <w:spacing w:after="60" w:line="276" w:lineRule="auto"/>
      </w:pPr>
      <w:r>
        <w:rPr>
          <w:b/>
          <w:color w:val="111111"/>
        </w:rPr>
        <w:t xml:space="preserve">• Indoor Visual Positioning (VPS) Integration: </w:t>
      </w:r>
      <w:r>
        <w:t>Linking physical card scans to spatial museum indoor navigation, directing visitors from card artworks to physical museum display cases.</w:t>
      </w:r>
    </w:p>
    <w:p>
      <w:pPr>
        <w:keepNext/>
        <w:spacing w:before="280" w:after="80"/>
      </w:pPr>
      <w:r>
        <w:rPr>
          <w:b/>
          <w:color w:val="6B2030"/>
          <w:sz w:val="28"/>
        </w:rPr>
        <w:t>13 — Conclusion</w:t>
      </w:r>
    </w:p>
    <w:p>
      <w:r>
        <w:t>Ola began with a poignant, lived observation: that rich, ancient, and linguistically unique cultures like Kerala frequently collapse into generic geographic generalizations in the minds of international peers. Rather than accepting this disconnect, the project transformed the insight into a generative cross-cultural bridge — demonstrating that cultural exchange flourishes when driven by mutual curiosity rather than pedantic correction.</w:t>
        <w:br/>
        <w:br/>
        <w:t>By seamlessly fusing tangible physical craftsmanship (archival mural cards, accordion zines, and tool-free origami-inspired keychains) with state-of-the-art digital technology (AR tracking, Multimodal Voice &amp; Vision AI, quadrilingual localization, and gamified passport progression), Ola proves that technology can honor, rather than displace, ancient traditions. The project succeeds in its core ambition: ensuring that ancient knowledge systems, much like Kerala’s historical ola leaves, continue to speak, teach, and inspire across generations and borders.</w:t>
      </w:r>
    </w:p>
    <w:tbl>
      <w:tblPr>
        <w:tblW w:type="auto" w:w="0"/>
        <w:jc w:val="center"/>
        <w:tblLook w:firstColumn="1" w:firstRow="1" w:lastColumn="0" w:lastRow="0" w:noHBand="0" w:noVBand="1" w:val="04A0"/>
      </w:tblPr>
      <w:tblGrid>
        <w:gridCol w:w="9360"/>
      </w:tblGrid>
      <w:tr>
        <w:tc>
          <w:tcPr>
            <w:tcW w:type="dxa" w:w="9360"/>
            <w:shd w:fill="FDF6E2"/>
            <w:tcMar>
              <w:top w:w="140" w:type="dxa"/>
              <w:bottom w:w="140" w:type="dxa"/>
              <w:left w:w="200" w:type="dxa"/>
              <w:right w:w="200" w:type="dxa"/>
            </w:tcMar>
          </w:tcPr>
          <w:p>
            <w:pPr>
              <w:spacing w:after="0"/>
              <w:jc w:val="center"/>
            </w:pPr>
            <w:r>
              <w:rPr>
                <w:b/>
                <w:color w:val="6B2030"/>
              </w:rPr>
              <w:t>In One Sentence:</w:t>
              <w:br/>
            </w:r>
            <w:r>
              <w:rPr>
                <w:i/>
              </w:rPr>
              <w:t>Ola is a physical-digital cultural learning ecosystem that unites archival mural cards, tangible DIY keepsakes, and Multimodal Generative AI — preserving and transmitting intangible Asian heritage the same way Kerala's ancient ola palm-leaf manuscripts carried wisdom for millennia.</w:t>
            </w:r>
          </w:p>
        </w:tc>
      </w:tr>
    </w:tbl>
    <w:p>
      <w:pPr>
        <w:spacing w:before="360"/>
        <w:jc w:val="center"/>
      </w:pPr>
      <w:r>
        <w:rPr>
          <w:color w:val="555555"/>
          <w:sz w:val="19"/>
        </w:rPr>
        <w:t>Cultural Learning System · Avanthika &amp; HA · Taiwan–India Cultural Exchange Internship ·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