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VBot Workplace</w:t>
        <w:br/>
        <w:t>Production Architecture &amp; Cost Report</w:t>
      </w:r>
    </w:p>
    <w:p>
      <w:r>
        <w:t>AI20K · Track 2 · Báo cáo thiết kế theo đề bài · AWS Singapore · 16/10/2026</w:t>
      </w:r>
    </w:p>
    <w:p>
      <w:r>
        <w:t>Phạm vi: 2.000 DAU | 5 cấp tác vụ | Anthropic Brain / Hands / Session | Cloud Agent | Chi phí tháng</w:t>
      </w:r>
    </w:p>
    <w:p>
      <w:r>
        <w:t>Trạng thái tài liệu: Thiết kế đề xuất và báo giá sơ bộ. Các chỉ số chất lượng, độ trễ và HA cần được kiểm thử; phần lớn đơn giá cloud cần xác minh bằng AWS Pricing Calculator trước khi nộp.</w:t>
      </w:r>
    </w:p>
    <w:p>
      <w:pPr>
        <w:pStyle w:val="Heading1"/>
      </w:pPr>
      <w:r>
        <w:t>Executive Summary</w:t>
      </w:r>
    </w:p>
    <w:p>
      <w:r>
        <w:t>VBot là AI Agent dùng trong tập đoàn: hỏi đáp tài liệu, xử lý email, tạo DOCX/XLSX/PPTX, chạy Python trong Sandbox, cập nhật Jira/Notion/Confluence và tạo mockup/ảnh. Chọn AWS Singapore (ap-southeast-1) làm cloud chính. Agent gồm Brain (ra quyết định), Hands (thực thi tool) và Session (lưu state bền vững), tham khảo engineering blog của Anthropic [S1].</w:t>
      </w:r>
    </w:p>
    <w:p>
      <w:r>
        <w:t>Quyết định cốt lõi: dùng một LangGraph Agent Runtime; Task Router chỉ chọn interactive hoặc background, không tạo hai loại agent. Stack: FastAPI + ECS Fargate, Amazon Bedrock, SQS, RDS PostgreSQL Multi-AZ/pgvector, S3 và OAuth Connector Broker. Không dùng Multi-Agent, Kubernetes hay GPU self-host ở phương án cơ sở.</w:t>
      </w:r>
    </w:p>
    <w:tbl>
      <w:tblPr>
        <w:tblStyle w:val="LightShading-Accent1"/>
        <w:tblW w:type="auto" w:w="0"/>
        <w:tblLayout w:type="fixed"/>
        <w:tblLook w:firstColumn="1" w:firstRow="1" w:lastColumn="0" w:lastRow="0" w:noHBand="0" w:noVBand="1" w:val="04A0"/>
      </w:tblPr>
      <w:tblGrid>
        <w:gridCol w:w="4968"/>
        <w:gridCol w:w="4968"/>
      </w:tblGrid>
      <w:tr>
        <w:tc>
          <w:tcPr>
            <w:tcW w:type="dxa" w:w="4968"/>
            <w:shd w:fill="174861"/>
          </w:tcPr>
          <w:p>
            <w:pPr>
              <w:spacing w:after="20" w:line="250" w:lineRule="auto"/>
            </w:pPr>
            <w:r>
              <w:rPr>
                <w:b/>
                <w:color w:val="FFFFFF"/>
                <w:sz w:val="15"/>
              </w:rPr>
              <w:t>Chỉ số</w:t>
            </w:r>
          </w:p>
        </w:tc>
        <w:tc>
          <w:tcPr>
            <w:tcW w:type="dxa" w:w="4968"/>
            <w:shd w:fill="174861"/>
          </w:tcPr>
          <w:p>
            <w:pPr>
              <w:spacing w:after="20" w:line="250" w:lineRule="auto"/>
            </w:pPr>
            <w:r>
              <w:rPr>
                <w:b/>
                <w:color w:val="FFFFFF"/>
                <w:sz w:val="15"/>
              </w:rPr>
              <w:t>Kết quả tính theo giả định</w:t>
            </w:r>
          </w:p>
        </w:tc>
      </w:tr>
      <w:tr>
        <w:tc>
          <w:tcPr>
            <w:tcW w:type="dxa" w:w="4968"/>
          </w:tcPr>
          <w:p>
            <w:pPr>
              <w:spacing w:after="20" w:line="250" w:lineRule="auto"/>
            </w:pPr>
            <w:r>
              <w:rPr>
                <w:sz w:val="15"/>
              </w:rPr>
              <w:t>2.000 DAU, 4 yêu cầu/người/ngày</w:t>
            </w:r>
          </w:p>
        </w:tc>
        <w:tc>
          <w:tcPr>
            <w:tcW w:type="dxa" w:w="4968"/>
          </w:tcPr>
          <w:p>
            <w:pPr>
              <w:spacing w:after="20" w:line="250" w:lineRule="auto"/>
            </w:pPr>
            <w:r>
              <w:rPr>
                <w:sz w:val="15"/>
              </w:rPr>
              <w:t>176.000 yêu cầu/tháng (22 ngày làm việc)</w:t>
            </w:r>
          </w:p>
        </w:tc>
      </w:tr>
      <w:tr>
        <w:tc>
          <w:tcPr>
            <w:tcW w:type="dxa" w:w="4968"/>
          </w:tcPr>
          <w:p>
            <w:pPr>
              <w:spacing w:after="20" w:line="250" w:lineRule="auto"/>
            </w:pPr>
            <w:r>
              <w:rPr>
                <w:sz w:val="15"/>
              </w:rPr>
              <w:t>Peak traffic</w:t>
            </w:r>
          </w:p>
        </w:tc>
        <w:tc>
          <w:tcPr>
            <w:tcW w:type="dxa" w:w="4968"/>
          </w:tcPr>
          <w:p>
            <w:pPr>
              <w:spacing w:after="20" w:line="250" w:lineRule="auto"/>
            </w:pPr>
            <w:r>
              <w:rPr>
                <w:sz w:val="15"/>
              </w:rPr>
              <w:t>~1,33 request/s khi cao điểm gấp 6 lần trung bình</w:t>
            </w:r>
          </w:p>
        </w:tc>
      </w:tr>
      <w:tr>
        <w:tc>
          <w:tcPr>
            <w:tcW w:type="dxa" w:w="4968"/>
          </w:tcPr>
          <w:p>
            <w:pPr>
              <w:spacing w:after="20" w:line="250" w:lineRule="auto"/>
            </w:pPr>
            <w:r>
              <w:rPr>
                <w:sz w:val="15"/>
              </w:rPr>
              <w:t>LLM tokens/tháng</w:t>
            </w:r>
          </w:p>
        </w:tc>
        <w:tc>
          <w:tcPr>
            <w:tcW w:type="dxa" w:w="4968"/>
          </w:tcPr>
          <w:p>
            <w:pPr>
              <w:spacing w:after="20" w:line="250" w:lineRule="auto"/>
            </w:pPr>
            <w:r>
              <w:rPr>
                <w:sz w:val="15"/>
              </w:rPr>
              <w:t>1.024,32 triệu input + 268,84 triệu output</w:t>
            </w:r>
          </w:p>
        </w:tc>
      </w:tr>
      <w:tr>
        <w:tc>
          <w:tcPr>
            <w:tcW w:type="dxa" w:w="4968"/>
          </w:tcPr>
          <w:p>
            <w:pPr>
              <w:spacing w:after="20" w:line="250" w:lineRule="auto"/>
            </w:pPr>
            <w:r>
              <w:rPr>
                <w:sz w:val="15"/>
              </w:rPr>
              <w:t>Sandbox workload</w:t>
            </w:r>
          </w:p>
        </w:tc>
        <w:tc>
          <w:tcPr>
            <w:tcW w:type="dxa" w:w="4968"/>
          </w:tcPr>
          <w:p>
            <w:pPr>
              <w:spacing w:after="20" w:line="250" w:lineRule="auto"/>
            </w:pPr>
            <w:r>
              <w:rPr>
                <w:sz w:val="15"/>
              </w:rPr>
              <w:t>1.628 giờ thực thi/tháng; chạy khi cần</w:t>
            </w:r>
          </w:p>
        </w:tc>
      </w:tr>
      <w:tr>
        <w:tc>
          <w:tcPr>
            <w:tcW w:type="dxa" w:w="4968"/>
          </w:tcPr>
          <w:p>
            <w:pPr>
              <w:spacing w:after="20" w:line="250" w:lineRule="auto"/>
            </w:pPr>
            <w:r>
              <w:rPr>
                <w:sz w:val="15"/>
              </w:rPr>
              <w:t>Chi phí sơ bộ</w:t>
            </w:r>
          </w:p>
        </w:tc>
        <w:tc>
          <w:tcPr>
            <w:tcW w:type="dxa" w:w="4968"/>
          </w:tcPr>
          <w:p>
            <w:pPr>
              <w:spacing w:after="20" w:line="250" w:lineRule="auto"/>
            </w:pPr>
            <w:r>
              <w:rPr>
                <w:sz w:val="15"/>
              </w:rPr>
              <w:t>$9.145,84/tháng, khoảng $4,57/DAU/tháng</w:t>
            </w:r>
          </w:p>
        </w:tc>
      </w:tr>
    </w:tbl>
    <w:p>
      <w:pPr>
        <w:spacing w:after="0"/>
      </w:pPr>
    </w:p>
    <w:p>
      <w:r>
        <w:t>Tổng tiền chỉ là planning estimate để làm việc nhóm, chưa phải AWS quote có chứng cứ SKU/region. Theo đề, phương án chỉ được cạnh tranh chi phí sau khi đáp ứng đầy đủ H1–H8 và các component bắt buộc [D].</w:t>
      </w:r>
    </w:p>
    <w:p>
      <w:pPr>
        <w:pStyle w:val="Heading1"/>
      </w:pPr>
      <w:r>
        <w:t>1. Scope: đủ 5 cấp tác vụ</w:t>
      </w:r>
    </w:p>
    <w:tbl>
      <w:tblPr>
        <w:tblStyle w:val="LightShading-Accent1"/>
        <w:tblW w:type="auto" w:w="0"/>
        <w:tblLayout w:type="fixed"/>
        <w:tblLook w:firstColumn="1" w:firstRow="1" w:lastColumn="0" w:lastRow="0" w:noHBand="0" w:noVBand="1" w:val="04A0"/>
      </w:tblPr>
      <w:tblGrid>
        <w:gridCol w:w="3312"/>
        <w:gridCol w:w="3312"/>
        <w:gridCol w:w="3312"/>
      </w:tblGrid>
      <w:tr>
        <w:tc>
          <w:tcPr>
            <w:tcW w:type="dxa" w:w="3312"/>
            <w:shd w:fill="174861"/>
          </w:tcPr>
          <w:p>
            <w:pPr>
              <w:spacing w:after="20" w:line="250" w:lineRule="auto"/>
            </w:pPr>
            <w:r>
              <w:rPr>
                <w:b/>
                <w:color w:val="FFFFFF"/>
                <w:sz w:val="15"/>
              </w:rPr>
              <w:t>Cấp</w:t>
            </w:r>
          </w:p>
        </w:tc>
        <w:tc>
          <w:tcPr>
            <w:tcW w:type="dxa" w:w="3312"/>
            <w:shd w:fill="174861"/>
          </w:tcPr>
          <w:p>
            <w:pPr>
              <w:spacing w:after="20" w:line="250" w:lineRule="auto"/>
            </w:pPr>
            <w:r>
              <w:rPr>
                <w:b/>
                <w:color w:val="FFFFFF"/>
                <w:sz w:val="15"/>
              </w:rPr>
              <w:t>Tính năng</w:t>
            </w:r>
          </w:p>
        </w:tc>
        <w:tc>
          <w:tcPr>
            <w:tcW w:type="dxa" w:w="3312"/>
            <w:shd w:fill="174861"/>
          </w:tcPr>
          <w:p>
            <w:pPr>
              <w:spacing w:after="20" w:line="250" w:lineRule="auto"/>
            </w:pPr>
            <w:r>
              <w:rPr>
                <w:b/>
                <w:color w:val="FFFFFF"/>
                <w:sz w:val="15"/>
              </w:rPr>
              <w:t>Luồng thực thi</w:t>
            </w:r>
          </w:p>
        </w:tc>
      </w:tr>
      <w:tr>
        <w:tc>
          <w:tcPr>
            <w:tcW w:type="dxa" w:w="3312"/>
          </w:tcPr>
          <w:p>
            <w:pPr>
              <w:spacing w:after="20" w:line="250" w:lineRule="auto"/>
            </w:pPr>
            <w:r>
              <w:rPr>
                <w:sz w:val="15"/>
              </w:rPr>
              <w:t>1</w:t>
            </w:r>
          </w:p>
        </w:tc>
        <w:tc>
          <w:tcPr>
            <w:tcW w:type="dxa" w:w="3312"/>
          </w:tcPr>
          <w:p>
            <w:pPr>
              <w:spacing w:after="20" w:line="250" w:lineRule="auto"/>
            </w:pPr>
            <w:r>
              <w:rPr>
                <w:sz w:val="15"/>
              </w:rPr>
              <w:t>Email, Q&amp;A, tóm tắt và tìm tài liệu</w:t>
            </w:r>
          </w:p>
        </w:tc>
        <w:tc>
          <w:tcPr>
            <w:tcW w:type="dxa" w:w="3312"/>
          </w:tcPr>
          <w:p>
            <w:pPr>
              <w:spacing w:after="20" w:line="250" w:lineRule="auto"/>
            </w:pPr>
            <w:r>
              <w:rPr>
                <w:sz w:val="15"/>
              </w:rPr>
              <w:t>Brain → Connector / Enterprise Search → Bedrock</w:t>
            </w:r>
          </w:p>
        </w:tc>
      </w:tr>
      <w:tr>
        <w:tc>
          <w:tcPr>
            <w:tcW w:type="dxa" w:w="3312"/>
          </w:tcPr>
          <w:p>
            <w:pPr>
              <w:spacing w:after="20" w:line="250" w:lineRule="auto"/>
            </w:pPr>
            <w:r>
              <w:rPr>
                <w:sz w:val="15"/>
              </w:rPr>
              <w:t>2</w:t>
            </w:r>
          </w:p>
        </w:tc>
        <w:tc>
          <w:tcPr>
            <w:tcW w:type="dxa" w:w="3312"/>
          </w:tcPr>
          <w:p>
            <w:pPr>
              <w:spacing w:after="20" w:line="250" w:lineRule="auto"/>
            </w:pPr>
            <w:r>
              <w:rPr>
                <w:sz w:val="15"/>
              </w:rPr>
              <w:t>Viết báo cáo, biên bản, xuất DOCX/XLSX/PPTX</w:t>
            </w:r>
          </w:p>
        </w:tc>
        <w:tc>
          <w:tcPr>
            <w:tcW w:type="dxa" w:w="3312"/>
          </w:tcPr>
          <w:p>
            <w:pPr>
              <w:spacing w:after="20" w:line="250" w:lineRule="auto"/>
            </w:pPr>
            <w:r>
              <w:rPr>
                <w:sz w:val="15"/>
              </w:rPr>
              <w:t>Brain → Sandbox tạo file → Workspace</w:t>
            </w:r>
          </w:p>
        </w:tc>
      </w:tr>
      <w:tr>
        <w:tc>
          <w:tcPr>
            <w:tcW w:type="dxa" w:w="3312"/>
          </w:tcPr>
          <w:p>
            <w:pPr>
              <w:spacing w:after="20" w:line="250" w:lineRule="auto"/>
            </w:pPr>
            <w:r>
              <w:rPr>
                <w:sz w:val="15"/>
              </w:rPr>
              <w:t>3</w:t>
            </w:r>
          </w:p>
        </w:tc>
        <w:tc>
          <w:tcPr>
            <w:tcW w:type="dxa" w:w="3312"/>
          </w:tcPr>
          <w:p>
            <w:pPr>
              <w:spacing w:after="20" w:line="250" w:lineRule="auto"/>
            </w:pPr>
            <w:r>
              <w:rPr>
                <w:sz w:val="15"/>
              </w:rPr>
              <w:t>Phân tích dữ liệu, script, sửa và review code</w:t>
            </w:r>
          </w:p>
        </w:tc>
        <w:tc>
          <w:tcPr>
            <w:tcW w:type="dxa" w:w="3312"/>
          </w:tcPr>
          <w:p>
            <w:pPr>
              <w:spacing w:after="20" w:line="250" w:lineRule="auto"/>
            </w:pPr>
            <w:r>
              <w:rPr>
                <w:sz w:val="15"/>
              </w:rPr>
              <w:t>Brain → Isolated Sandbox → kiểm tra kết quả</w:t>
            </w:r>
          </w:p>
        </w:tc>
      </w:tr>
      <w:tr>
        <w:tc>
          <w:tcPr>
            <w:tcW w:type="dxa" w:w="3312"/>
          </w:tcPr>
          <w:p>
            <w:pPr>
              <w:spacing w:after="20" w:line="250" w:lineRule="auto"/>
            </w:pPr>
            <w:r>
              <w:rPr>
                <w:sz w:val="15"/>
              </w:rPr>
              <w:t>4</w:t>
            </w:r>
          </w:p>
        </w:tc>
        <w:tc>
          <w:tcPr>
            <w:tcW w:type="dxa" w:w="3312"/>
          </w:tcPr>
          <w:p>
            <w:pPr>
              <w:spacing w:after="20" w:line="250" w:lineRule="auto"/>
            </w:pPr>
            <w:r>
              <w:rPr>
                <w:sz w:val="15"/>
              </w:rPr>
              <w:t>Đọc/cập nhật Jira, Notion, Confluence</w:t>
            </w:r>
          </w:p>
        </w:tc>
        <w:tc>
          <w:tcPr>
            <w:tcW w:type="dxa" w:w="3312"/>
          </w:tcPr>
          <w:p>
            <w:pPr>
              <w:spacing w:after="20" w:line="250" w:lineRule="auto"/>
            </w:pPr>
            <w:r>
              <w:rPr>
                <w:sz w:val="15"/>
              </w:rPr>
              <w:t>Background Task → Agent → Connector → Approval</w:t>
            </w:r>
          </w:p>
        </w:tc>
      </w:tr>
      <w:tr>
        <w:tc>
          <w:tcPr>
            <w:tcW w:type="dxa" w:w="3312"/>
          </w:tcPr>
          <w:p>
            <w:pPr>
              <w:spacing w:after="20" w:line="250" w:lineRule="auto"/>
            </w:pPr>
            <w:r>
              <w:rPr>
                <w:sz w:val="15"/>
              </w:rPr>
              <w:t>5</w:t>
            </w:r>
          </w:p>
        </w:tc>
        <w:tc>
          <w:tcPr>
            <w:tcW w:type="dxa" w:w="3312"/>
          </w:tcPr>
          <w:p>
            <w:pPr>
              <w:spacing w:after="20" w:line="250" w:lineRule="auto"/>
            </w:pPr>
            <w:r>
              <w:rPr>
                <w:sz w:val="15"/>
              </w:rPr>
              <w:t>UI mockup, diagram, image</w:t>
            </w:r>
          </w:p>
        </w:tc>
        <w:tc>
          <w:tcPr>
            <w:tcW w:type="dxa" w:w="3312"/>
          </w:tcPr>
          <w:p>
            <w:pPr>
              <w:spacing w:after="20" w:line="250" w:lineRule="auto"/>
            </w:pPr>
            <w:r>
              <w:rPr>
                <w:sz w:val="15"/>
              </w:rPr>
              <w:t>Brain → Image Model / Browser Render → Artifact</w:t>
            </w:r>
          </w:p>
        </w:tc>
      </w:tr>
    </w:tbl>
    <w:p>
      <w:pPr>
        <w:spacing w:after="0"/>
      </w:pPr>
    </w:p>
    <w:p>
      <w:r>
        <w:t>Các connector cần hỗ trợ: Gmail, Google Drive/Calendar/Docs/Sheets/Slides, Outlook/Microsoft 365/OneDrive/SharePoint/Teams, Notion, Jira, Confluence. Agent hành động bằng delegated OAuth của đúng nhân viên; không có service account đọc toàn bộ tập đoàn. Mỗi nhân viên có chat, memory, file và quota 10 GB riêng.</w:t>
      </w:r>
    </w:p>
    <w:p>
      <w:pPr>
        <w:pStyle w:val="Heading1"/>
      </w:pPr>
      <w:r>
        <w:t>2. Workload sizing: cách suy ra từ 2.000 DAU</w:t>
      </w:r>
    </w:p>
    <w:p>
      <w:r>
        <w:t>Đề bài chỉ cung cấp DAU, 22 ngày làm việc, giờ hành chính 08:00–18:00 và môi trường prod + staging; số request, token, sandbox và dung lượng là giả định do nhóm chọn [D]. Chúng phải được ghi trên slide và dùng nhất quán trong XLSX.</w:t>
      </w:r>
    </w:p>
    <w:tbl>
      <w:tblPr>
        <w:tblStyle w:val="LightShading-Accent1"/>
        <w:tblW w:type="auto" w:w="0"/>
        <w:tblLayout w:type="fixed"/>
        <w:tblLook w:firstColumn="1" w:firstRow="1" w:lastColumn="0" w:lastRow="0" w:noHBand="0" w:noVBand="1" w:val="04A0"/>
      </w:tblPr>
      <w:tblGrid>
        <w:gridCol w:w="3312"/>
        <w:gridCol w:w="3312"/>
        <w:gridCol w:w="3312"/>
      </w:tblGrid>
      <w:tr>
        <w:tc>
          <w:tcPr>
            <w:tcW w:type="dxa" w:w="3312"/>
            <w:shd w:fill="174861"/>
          </w:tcPr>
          <w:p>
            <w:pPr>
              <w:spacing w:after="20" w:line="250" w:lineRule="auto"/>
            </w:pPr>
            <w:r>
              <w:rPr>
                <w:b/>
                <w:color w:val="FFFFFF"/>
                <w:sz w:val="15"/>
              </w:rPr>
              <w:t>Giả định</w:t>
            </w:r>
          </w:p>
        </w:tc>
        <w:tc>
          <w:tcPr>
            <w:tcW w:type="dxa" w:w="3312"/>
            <w:shd w:fill="174861"/>
          </w:tcPr>
          <w:p>
            <w:pPr>
              <w:spacing w:after="20" w:line="250" w:lineRule="auto"/>
            </w:pPr>
            <w:r>
              <w:rPr>
                <w:b/>
                <w:color w:val="FFFFFF"/>
                <w:sz w:val="15"/>
              </w:rPr>
              <w:t>Giá trị</w:t>
            </w:r>
          </w:p>
        </w:tc>
        <w:tc>
          <w:tcPr>
            <w:tcW w:type="dxa" w:w="3312"/>
            <w:shd w:fill="174861"/>
          </w:tcPr>
          <w:p>
            <w:pPr>
              <w:spacing w:after="20" w:line="250" w:lineRule="auto"/>
            </w:pPr>
            <w:r>
              <w:rPr>
                <w:b/>
                <w:color w:val="FFFFFF"/>
                <w:sz w:val="15"/>
              </w:rPr>
              <w:t>Công thức / ghi chú</w:t>
            </w:r>
          </w:p>
        </w:tc>
      </w:tr>
      <w:tr>
        <w:tc>
          <w:tcPr>
            <w:tcW w:type="dxa" w:w="3312"/>
          </w:tcPr>
          <w:p>
            <w:pPr>
              <w:spacing w:after="20" w:line="250" w:lineRule="auto"/>
            </w:pPr>
            <w:r>
              <w:rPr>
                <w:sz w:val="15"/>
              </w:rPr>
              <w:t>Request/người/ngày</w:t>
            </w:r>
          </w:p>
        </w:tc>
        <w:tc>
          <w:tcPr>
            <w:tcW w:type="dxa" w:w="3312"/>
          </w:tcPr>
          <w:p>
            <w:pPr>
              <w:spacing w:after="20" w:line="250" w:lineRule="auto"/>
            </w:pPr>
            <w:r>
              <w:rPr>
                <w:sz w:val="15"/>
              </w:rPr>
              <w:t>4</w:t>
            </w:r>
          </w:p>
        </w:tc>
        <w:tc>
          <w:tcPr>
            <w:tcW w:type="dxa" w:w="3312"/>
          </w:tcPr>
          <w:p>
            <w:pPr>
              <w:spacing w:after="20" w:line="250" w:lineRule="auto"/>
            </w:pPr>
            <w:r>
              <w:rPr>
                <w:sz w:val="15"/>
              </w:rPr>
              <w:t>Giả định thực tế ban đầu; cần khảo sát</w:t>
            </w:r>
          </w:p>
        </w:tc>
      </w:tr>
      <w:tr>
        <w:tc>
          <w:tcPr>
            <w:tcW w:type="dxa" w:w="3312"/>
          </w:tcPr>
          <w:p>
            <w:pPr>
              <w:spacing w:after="20" w:line="250" w:lineRule="auto"/>
            </w:pPr>
            <w:r>
              <w:rPr>
                <w:sz w:val="15"/>
              </w:rPr>
              <w:t>Request/tháng</w:t>
            </w:r>
          </w:p>
        </w:tc>
        <w:tc>
          <w:tcPr>
            <w:tcW w:type="dxa" w:w="3312"/>
          </w:tcPr>
          <w:p>
            <w:pPr>
              <w:spacing w:after="20" w:line="250" w:lineRule="auto"/>
            </w:pPr>
            <w:r>
              <w:rPr>
                <w:sz w:val="15"/>
              </w:rPr>
              <w:t>176.000</w:t>
            </w:r>
          </w:p>
        </w:tc>
        <w:tc>
          <w:tcPr>
            <w:tcW w:type="dxa" w:w="3312"/>
          </w:tcPr>
          <w:p>
            <w:pPr>
              <w:spacing w:after="20" w:line="250" w:lineRule="auto"/>
            </w:pPr>
            <w:r>
              <w:rPr>
                <w:sz w:val="15"/>
              </w:rPr>
              <w:t>2.000 × 4 × 22</w:t>
            </w:r>
          </w:p>
        </w:tc>
      </w:tr>
      <w:tr>
        <w:tc>
          <w:tcPr>
            <w:tcW w:type="dxa" w:w="3312"/>
          </w:tcPr>
          <w:p>
            <w:pPr>
              <w:spacing w:after="20" w:line="250" w:lineRule="auto"/>
            </w:pPr>
            <w:r>
              <w:rPr>
                <w:sz w:val="15"/>
              </w:rPr>
              <w:t>Request/s trung bình</w:t>
            </w:r>
          </w:p>
        </w:tc>
        <w:tc>
          <w:tcPr>
            <w:tcW w:type="dxa" w:w="3312"/>
          </w:tcPr>
          <w:p>
            <w:pPr>
              <w:spacing w:after="20" w:line="250" w:lineRule="auto"/>
            </w:pPr>
            <w:r>
              <w:rPr>
                <w:sz w:val="15"/>
              </w:rPr>
              <w:t>0,222</w:t>
            </w:r>
          </w:p>
        </w:tc>
        <w:tc>
          <w:tcPr>
            <w:tcW w:type="dxa" w:w="3312"/>
          </w:tcPr>
          <w:p>
            <w:pPr>
              <w:spacing w:after="20" w:line="250" w:lineRule="auto"/>
            </w:pPr>
            <w:r>
              <w:rPr>
                <w:sz w:val="15"/>
              </w:rPr>
              <w:t>8.000 / (10 × 3.600)</w:t>
            </w:r>
          </w:p>
        </w:tc>
      </w:tr>
      <w:tr>
        <w:tc>
          <w:tcPr>
            <w:tcW w:type="dxa" w:w="3312"/>
          </w:tcPr>
          <w:p>
            <w:pPr>
              <w:spacing w:after="20" w:line="250" w:lineRule="auto"/>
            </w:pPr>
            <w:r>
              <w:rPr>
                <w:sz w:val="15"/>
              </w:rPr>
              <w:t>Request/s cao điểm</w:t>
            </w:r>
          </w:p>
        </w:tc>
        <w:tc>
          <w:tcPr>
            <w:tcW w:type="dxa" w:w="3312"/>
          </w:tcPr>
          <w:p>
            <w:pPr>
              <w:spacing w:after="20" w:line="250" w:lineRule="auto"/>
            </w:pPr>
            <w:r>
              <w:rPr>
                <w:sz w:val="15"/>
              </w:rPr>
              <w:t>1,33</w:t>
            </w:r>
          </w:p>
        </w:tc>
        <w:tc>
          <w:tcPr>
            <w:tcW w:type="dxa" w:w="3312"/>
          </w:tcPr>
          <w:p>
            <w:pPr>
              <w:spacing w:after="20" w:line="250" w:lineRule="auto"/>
            </w:pPr>
            <w:r>
              <w:rPr>
                <w:sz w:val="15"/>
              </w:rPr>
              <w:t>0,222 × hệ số peak 6</w:t>
            </w:r>
          </w:p>
        </w:tc>
      </w:tr>
      <w:tr>
        <w:tc>
          <w:tcPr>
            <w:tcW w:type="dxa" w:w="3312"/>
          </w:tcPr>
          <w:p>
            <w:pPr>
              <w:spacing w:after="20" w:line="250" w:lineRule="auto"/>
            </w:pPr>
            <w:r>
              <w:rPr>
                <w:sz w:val="15"/>
              </w:rPr>
              <w:t>LLM throughput peak</w:t>
            </w:r>
          </w:p>
        </w:tc>
        <w:tc>
          <w:tcPr>
            <w:tcW w:type="dxa" w:w="3312"/>
          </w:tcPr>
          <w:p>
            <w:pPr>
              <w:spacing w:after="20" w:line="250" w:lineRule="auto"/>
            </w:pPr>
            <w:r>
              <w:rPr>
                <w:sz w:val="15"/>
              </w:rPr>
              <w:t>~7.760 input + 2.040 output tokens/s</w:t>
            </w:r>
          </w:p>
        </w:tc>
        <w:tc>
          <w:tcPr>
            <w:tcW w:type="dxa" w:w="3312"/>
          </w:tcPr>
          <w:p>
            <w:pPr>
              <w:spacing w:after="20" w:line="250" w:lineRule="auto"/>
            </w:pPr>
            <w:r>
              <w:rPr>
                <w:sz w:val="15"/>
              </w:rPr>
              <w:t>Suy ra từ weighted tokens/request × 1,33 req/s</w:t>
            </w:r>
          </w:p>
        </w:tc>
      </w:tr>
      <w:tr>
        <w:tc>
          <w:tcPr>
            <w:tcW w:type="dxa" w:w="3312"/>
          </w:tcPr>
          <w:p>
            <w:pPr>
              <w:spacing w:after="20" w:line="250" w:lineRule="auto"/>
            </w:pPr>
            <w:r>
              <w:rPr>
                <w:sz w:val="15"/>
              </w:rPr>
              <w:t>Workspace limit</w:t>
            </w:r>
          </w:p>
        </w:tc>
        <w:tc>
          <w:tcPr>
            <w:tcW w:type="dxa" w:w="3312"/>
          </w:tcPr>
          <w:p>
            <w:pPr>
              <w:spacing w:after="20" w:line="250" w:lineRule="auto"/>
            </w:pPr>
            <w:r>
              <w:rPr>
                <w:sz w:val="15"/>
              </w:rPr>
              <w:t>20 TB logic</w:t>
            </w:r>
          </w:p>
        </w:tc>
        <w:tc>
          <w:tcPr>
            <w:tcW w:type="dxa" w:w="3312"/>
          </w:tcPr>
          <w:p>
            <w:pPr>
              <w:spacing w:after="20" w:line="250" w:lineRule="auto"/>
            </w:pPr>
            <w:r>
              <w:rPr>
                <w:sz w:val="15"/>
              </w:rPr>
              <w:t>2.000 × quota 10 GB, chưa phải dung lượng mua</w:t>
            </w:r>
          </w:p>
        </w:tc>
      </w:tr>
      <w:tr>
        <w:tc>
          <w:tcPr>
            <w:tcW w:type="dxa" w:w="3312"/>
          </w:tcPr>
          <w:p>
            <w:pPr>
              <w:spacing w:after="20" w:line="250" w:lineRule="auto"/>
            </w:pPr>
            <w:r>
              <w:rPr>
                <w:sz w:val="15"/>
              </w:rPr>
              <w:t>Storage ban đầu tính tiền</w:t>
            </w:r>
          </w:p>
        </w:tc>
        <w:tc>
          <w:tcPr>
            <w:tcW w:type="dxa" w:w="3312"/>
          </w:tcPr>
          <w:p>
            <w:pPr>
              <w:spacing w:after="20" w:line="250" w:lineRule="auto"/>
            </w:pPr>
            <w:r>
              <w:rPr>
                <w:sz w:val="15"/>
              </w:rPr>
              <w:t>3 TB</w:t>
            </w:r>
          </w:p>
        </w:tc>
        <w:tc>
          <w:tcPr>
            <w:tcW w:type="dxa" w:w="3312"/>
          </w:tcPr>
          <w:p>
            <w:pPr>
              <w:spacing w:after="20" w:line="250" w:lineRule="auto"/>
            </w:pPr>
            <w:r>
              <w:rPr>
                <w:sz w:val="15"/>
              </w:rPr>
              <w:t>2 TB file + 0,5 TB knowledge + 0,5 TB version/audit</w:t>
            </w:r>
          </w:p>
        </w:tc>
      </w:tr>
      <w:tr>
        <w:tc>
          <w:tcPr>
            <w:tcW w:type="dxa" w:w="3312"/>
          </w:tcPr>
          <w:p>
            <w:pPr>
              <w:spacing w:after="20" w:line="250" w:lineRule="auto"/>
            </w:pPr>
            <w:r>
              <w:rPr>
                <w:sz w:val="15"/>
              </w:rPr>
              <w:t>SaaS API calls</w:t>
            </w:r>
          </w:p>
        </w:tc>
        <w:tc>
          <w:tcPr>
            <w:tcW w:type="dxa" w:w="3312"/>
          </w:tcPr>
          <w:p>
            <w:pPr>
              <w:spacing w:after="20" w:line="250" w:lineRule="auto"/>
            </w:pPr>
            <w:r>
              <w:rPr>
                <w:sz w:val="15"/>
              </w:rPr>
              <w:t>~462.000/tháng</w:t>
            </w:r>
          </w:p>
        </w:tc>
        <w:tc>
          <w:tcPr>
            <w:tcW w:type="dxa" w:w="3312"/>
          </w:tcPr>
          <w:p>
            <w:pPr>
              <w:spacing w:after="20" w:line="250" w:lineRule="auto"/>
            </w:pPr>
            <w:r>
              <w:rPr>
                <w:sz w:val="15"/>
              </w:rPr>
              <w:t>Giả định số tool calls theo từng cấp</w:t>
            </w:r>
          </w:p>
        </w:tc>
      </w:tr>
    </w:tbl>
    <w:p>
      <w:pPr>
        <w:spacing w:after="0"/>
      </w:pPr>
    </w:p>
    <w:tbl>
      <w:tblPr>
        <w:tblStyle w:val="LightShading-Accent1"/>
        <w:tblW w:type="auto" w:w="0"/>
        <w:tblLayout w:type="fixed"/>
        <w:tblLook w:firstColumn="1" w:firstRow="1" w:lastColumn="0" w:lastRow="0" w:noHBand="0" w:noVBand="1" w:val="04A0"/>
      </w:tblPr>
      <w:tblGrid>
        <w:gridCol w:w="1987"/>
        <w:gridCol w:w="1987"/>
        <w:gridCol w:w="1987"/>
        <w:gridCol w:w="1987"/>
        <w:gridCol w:w="1987"/>
      </w:tblGrid>
      <w:tr>
        <w:tc>
          <w:tcPr>
            <w:tcW w:type="dxa" w:w="1987"/>
            <w:shd w:fill="174861"/>
          </w:tcPr>
          <w:p>
            <w:pPr>
              <w:spacing w:after="20" w:line="250" w:lineRule="auto"/>
            </w:pPr>
            <w:r>
              <w:rPr>
                <w:b/>
                <w:color w:val="FFFFFF"/>
                <w:sz w:val="15"/>
              </w:rPr>
              <w:t>Cấp</w:t>
            </w:r>
          </w:p>
        </w:tc>
        <w:tc>
          <w:tcPr>
            <w:tcW w:type="dxa" w:w="1987"/>
            <w:shd w:fill="174861"/>
          </w:tcPr>
          <w:p>
            <w:pPr>
              <w:spacing w:after="20" w:line="250" w:lineRule="auto"/>
            </w:pPr>
            <w:r>
              <w:rPr>
                <w:b/>
                <w:color w:val="FFFFFF"/>
                <w:sz w:val="15"/>
              </w:rPr>
              <w:t>Mix / request/tháng</w:t>
            </w:r>
          </w:p>
        </w:tc>
        <w:tc>
          <w:tcPr>
            <w:tcW w:type="dxa" w:w="1987"/>
            <w:shd w:fill="174861"/>
          </w:tcPr>
          <w:p>
            <w:pPr>
              <w:spacing w:after="20" w:line="250" w:lineRule="auto"/>
            </w:pPr>
            <w:r>
              <w:rPr>
                <w:b/>
                <w:color w:val="FFFFFF"/>
                <w:sz w:val="15"/>
              </w:rPr>
              <w:t>Token input + output / request</w:t>
            </w:r>
          </w:p>
        </w:tc>
        <w:tc>
          <w:tcPr>
            <w:tcW w:type="dxa" w:w="1987"/>
            <w:shd w:fill="174861"/>
          </w:tcPr>
          <w:p>
            <w:pPr>
              <w:spacing w:after="20" w:line="250" w:lineRule="auto"/>
            </w:pPr>
            <w:r>
              <w:rPr>
                <w:b/>
                <w:color w:val="FFFFFF"/>
                <w:sz w:val="15"/>
              </w:rPr>
              <w:t>Số LLM calls</w:t>
            </w:r>
          </w:p>
        </w:tc>
        <w:tc>
          <w:tcPr>
            <w:tcW w:type="dxa" w:w="1987"/>
            <w:shd w:fill="174861"/>
          </w:tcPr>
          <w:p>
            <w:pPr>
              <w:spacing w:after="20" w:line="250" w:lineRule="auto"/>
            </w:pPr>
            <w:r>
              <w:rPr>
                <w:b/>
                <w:color w:val="FFFFFF"/>
                <w:sz w:val="15"/>
              </w:rPr>
              <w:t>Sandbox giả định</w:t>
            </w:r>
          </w:p>
        </w:tc>
      </w:tr>
      <w:tr>
        <w:tc>
          <w:tcPr>
            <w:tcW w:type="dxa" w:w="1987"/>
          </w:tcPr>
          <w:p>
            <w:pPr>
              <w:spacing w:after="20" w:line="250" w:lineRule="auto"/>
            </w:pPr>
            <w:r>
              <w:rPr>
                <w:sz w:val="15"/>
              </w:rPr>
              <w:t>L1</w:t>
            </w:r>
          </w:p>
        </w:tc>
        <w:tc>
          <w:tcPr>
            <w:tcW w:type="dxa" w:w="1987"/>
          </w:tcPr>
          <w:p>
            <w:pPr>
              <w:spacing w:after="20" w:line="250" w:lineRule="auto"/>
            </w:pPr>
            <w:r>
              <w:rPr>
                <w:sz w:val="15"/>
              </w:rPr>
              <w:t>55% / 96.800</w:t>
            </w:r>
          </w:p>
        </w:tc>
        <w:tc>
          <w:tcPr>
            <w:tcW w:type="dxa" w:w="1987"/>
          </w:tcPr>
          <w:p>
            <w:pPr>
              <w:spacing w:after="20" w:line="250" w:lineRule="auto"/>
            </w:pPr>
            <w:r>
              <w:rPr>
                <w:sz w:val="15"/>
              </w:rPr>
              <w:t>1.400 + 350</w:t>
            </w:r>
          </w:p>
        </w:tc>
        <w:tc>
          <w:tcPr>
            <w:tcW w:type="dxa" w:w="1987"/>
          </w:tcPr>
          <w:p>
            <w:pPr>
              <w:spacing w:after="20" w:line="250" w:lineRule="auto"/>
            </w:pPr>
            <w:r>
              <w:rPr>
                <w:sz w:val="15"/>
              </w:rPr>
              <w:t>1</w:t>
            </w:r>
          </w:p>
        </w:tc>
        <w:tc>
          <w:tcPr>
            <w:tcW w:type="dxa" w:w="1987"/>
          </w:tcPr>
          <w:p>
            <w:pPr>
              <w:spacing w:after="20" w:line="250" w:lineRule="auto"/>
            </w:pPr>
            <w:r>
              <w:rPr>
                <w:sz w:val="15"/>
              </w:rPr>
              <w:t>Không</w:t>
            </w:r>
          </w:p>
        </w:tc>
      </w:tr>
      <w:tr>
        <w:tc>
          <w:tcPr>
            <w:tcW w:type="dxa" w:w="1987"/>
          </w:tcPr>
          <w:p>
            <w:pPr>
              <w:spacing w:after="20" w:line="250" w:lineRule="auto"/>
            </w:pPr>
            <w:r>
              <w:rPr>
                <w:sz w:val="15"/>
              </w:rPr>
              <w:t>L2</w:t>
            </w:r>
          </w:p>
        </w:tc>
        <w:tc>
          <w:tcPr>
            <w:tcW w:type="dxa" w:w="1987"/>
          </w:tcPr>
          <w:p>
            <w:pPr>
              <w:spacing w:after="20" w:line="250" w:lineRule="auto"/>
            </w:pPr>
            <w:r>
              <w:rPr>
                <w:sz w:val="15"/>
              </w:rPr>
              <w:t>20% / 35.200</w:t>
            </w:r>
          </w:p>
        </w:tc>
        <w:tc>
          <w:tcPr>
            <w:tcW w:type="dxa" w:w="1987"/>
          </w:tcPr>
          <w:p>
            <w:pPr>
              <w:spacing w:after="20" w:line="250" w:lineRule="auto"/>
            </w:pPr>
            <w:r>
              <w:rPr>
                <w:sz w:val="15"/>
              </w:rPr>
              <w:t>7.500 + 2.200</w:t>
            </w:r>
          </w:p>
        </w:tc>
        <w:tc>
          <w:tcPr>
            <w:tcW w:type="dxa" w:w="1987"/>
          </w:tcPr>
          <w:p>
            <w:pPr>
              <w:spacing w:after="20" w:line="250" w:lineRule="auto"/>
            </w:pPr>
            <w:r>
              <w:rPr>
                <w:sz w:val="15"/>
              </w:rPr>
              <w:t>2</w:t>
            </w:r>
          </w:p>
        </w:tc>
        <w:tc>
          <w:tcPr>
            <w:tcW w:type="dxa" w:w="1987"/>
          </w:tcPr>
          <w:p>
            <w:pPr>
              <w:spacing w:after="20" w:line="250" w:lineRule="auto"/>
            </w:pPr>
            <w:r>
              <w:rPr>
                <w:sz w:val="15"/>
              </w:rPr>
              <w:t>80% × 60 giây</w:t>
            </w:r>
          </w:p>
        </w:tc>
      </w:tr>
      <w:tr>
        <w:tc>
          <w:tcPr>
            <w:tcW w:type="dxa" w:w="1987"/>
          </w:tcPr>
          <w:p>
            <w:pPr>
              <w:spacing w:after="20" w:line="250" w:lineRule="auto"/>
            </w:pPr>
            <w:r>
              <w:rPr>
                <w:sz w:val="15"/>
              </w:rPr>
              <w:t>L3</w:t>
            </w:r>
          </w:p>
        </w:tc>
        <w:tc>
          <w:tcPr>
            <w:tcW w:type="dxa" w:w="1987"/>
          </w:tcPr>
          <w:p>
            <w:pPr>
              <w:spacing w:after="20" w:line="250" w:lineRule="auto"/>
            </w:pPr>
            <w:r>
              <w:rPr>
                <w:sz w:val="15"/>
              </w:rPr>
              <w:t>10% / 17.600</w:t>
            </w:r>
          </w:p>
        </w:tc>
        <w:tc>
          <w:tcPr>
            <w:tcW w:type="dxa" w:w="1987"/>
          </w:tcPr>
          <w:p>
            <w:pPr>
              <w:spacing w:after="20" w:line="250" w:lineRule="auto"/>
            </w:pPr>
            <w:r>
              <w:rPr>
                <w:sz w:val="15"/>
              </w:rPr>
              <w:t>12.500 + 3.200</w:t>
            </w:r>
          </w:p>
        </w:tc>
        <w:tc>
          <w:tcPr>
            <w:tcW w:type="dxa" w:w="1987"/>
          </w:tcPr>
          <w:p>
            <w:pPr>
              <w:spacing w:after="20" w:line="250" w:lineRule="auto"/>
            </w:pPr>
            <w:r>
              <w:rPr>
                <w:sz w:val="15"/>
              </w:rPr>
              <w:t>4</w:t>
            </w:r>
          </w:p>
        </w:tc>
        <w:tc>
          <w:tcPr>
            <w:tcW w:type="dxa" w:w="1987"/>
          </w:tcPr>
          <w:p>
            <w:pPr>
              <w:spacing w:after="20" w:line="250" w:lineRule="auto"/>
            </w:pPr>
            <w:r>
              <w:rPr>
                <w:sz w:val="15"/>
              </w:rPr>
              <w:t>100% × 180 giây</w:t>
            </w:r>
          </w:p>
        </w:tc>
      </w:tr>
      <w:tr>
        <w:tc>
          <w:tcPr>
            <w:tcW w:type="dxa" w:w="1987"/>
          </w:tcPr>
          <w:p>
            <w:pPr>
              <w:spacing w:after="20" w:line="250" w:lineRule="auto"/>
            </w:pPr>
            <w:r>
              <w:rPr>
                <w:sz w:val="15"/>
              </w:rPr>
              <w:t>L4</w:t>
            </w:r>
          </w:p>
        </w:tc>
        <w:tc>
          <w:tcPr>
            <w:tcW w:type="dxa" w:w="1987"/>
          </w:tcPr>
          <w:p>
            <w:pPr>
              <w:spacing w:after="20" w:line="250" w:lineRule="auto"/>
            </w:pPr>
            <w:r>
              <w:rPr>
                <w:sz w:val="15"/>
              </w:rPr>
              <w:t>10% / 17.600</w:t>
            </w:r>
          </w:p>
        </w:tc>
        <w:tc>
          <w:tcPr>
            <w:tcW w:type="dxa" w:w="1987"/>
          </w:tcPr>
          <w:p>
            <w:pPr>
              <w:spacing w:after="20" w:line="250" w:lineRule="auto"/>
            </w:pPr>
            <w:r>
              <w:rPr>
                <w:sz w:val="15"/>
              </w:rPr>
              <w:t>20.000 + 5.000</w:t>
            </w:r>
          </w:p>
        </w:tc>
        <w:tc>
          <w:tcPr>
            <w:tcW w:type="dxa" w:w="1987"/>
          </w:tcPr>
          <w:p>
            <w:pPr>
              <w:spacing w:after="20" w:line="250" w:lineRule="auto"/>
            </w:pPr>
            <w:r>
              <w:rPr>
                <w:sz w:val="15"/>
              </w:rPr>
              <w:t>6</w:t>
            </w:r>
          </w:p>
        </w:tc>
        <w:tc>
          <w:tcPr>
            <w:tcW w:type="dxa" w:w="1987"/>
          </w:tcPr>
          <w:p>
            <w:pPr>
              <w:spacing w:after="20" w:line="250" w:lineRule="auto"/>
            </w:pPr>
            <w:r>
              <w:rPr>
                <w:sz w:val="15"/>
              </w:rPr>
              <w:t>30% × 90 giây</w:t>
            </w:r>
          </w:p>
        </w:tc>
      </w:tr>
      <w:tr>
        <w:tc>
          <w:tcPr>
            <w:tcW w:type="dxa" w:w="1987"/>
          </w:tcPr>
          <w:p>
            <w:pPr>
              <w:spacing w:after="20" w:line="250" w:lineRule="auto"/>
            </w:pPr>
            <w:r>
              <w:rPr>
                <w:sz w:val="15"/>
              </w:rPr>
              <w:t>L5</w:t>
            </w:r>
          </w:p>
        </w:tc>
        <w:tc>
          <w:tcPr>
            <w:tcW w:type="dxa" w:w="1987"/>
          </w:tcPr>
          <w:p>
            <w:pPr>
              <w:spacing w:after="20" w:line="250" w:lineRule="auto"/>
            </w:pPr>
            <w:r>
              <w:rPr>
                <w:sz w:val="15"/>
              </w:rPr>
              <w:t>5% / 8.800</w:t>
            </w:r>
          </w:p>
        </w:tc>
        <w:tc>
          <w:tcPr>
            <w:tcW w:type="dxa" w:w="1987"/>
          </w:tcPr>
          <w:p>
            <w:pPr>
              <w:spacing w:after="20" w:line="250" w:lineRule="auto"/>
            </w:pPr>
            <w:r>
              <w:rPr>
                <w:sz w:val="15"/>
              </w:rPr>
              <w:t>6.000 + 1.500</w:t>
            </w:r>
          </w:p>
        </w:tc>
        <w:tc>
          <w:tcPr>
            <w:tcW w:type="dxa" w:w="1987"/>
          </w:tcPr>
          <w:p>
            <w:pPr>
              <w:spacing w:after="20" w:line="250" w:lineRule="auto"/>
            </w:pPr>
            <w:r>
              <w:rPr>
                <w:sz w:val="15"/>
              </w:rPr>
              <w:t>3</w:t>
            </w:r>
          </w:p>
        </w:tc>
        <w:tc>
          <w:tcPr>
            <w:tcW w:type="dxa" w:w="1987"/>
          </w:tcPr>
          <w:p>
            <w:pPr>
              <w:spacing w:after="20" w:line="250" w:lineRule="auto"/>
            </w:pPr>
            <w:r>
              <w:rPr>
                <w:sz w:val="15"/>
              </w:rPr>
              <w:t>50% × 120 giây; 1 ảnh</w:t>
            </w:r>
          </w:p>
        </w:tc>
      </w:tr>
    </w:tbl>
    <w:p>
      <w:pPr>
        <w:spacing w:after="0"/>
      </w:pPr>
    </w:p>
    <w:p>
      <w:r>
        <w:t>Token mỗi request là tổng qua nhiều LLM calls, gồm context và các bước Agent; không phải token của một call duy nhất. Sandbox-hours = tổng(request × tỷ lệ chạy × số giây)/3.600 = 1.628 giờ/tháng. Tương ứng 8.800 ảnh/tháng ở cấp 5. Không phải 2.000 người đều dùng Sandbox cùng lúc.</w:t>
      </w:r>
    </w:p>
    <w:p>
      <w:r>
        <w:t>Số sandbox đồng thời phải đo bằng peak arrival rate × tỷ lệ job có Sandbox × thời gian chạy. Giả định các job tập trung có thể cần khoảng 38–46 sandbox tasks đồng thời; đây là mục tiêu load test để kiểm tra quota ECS và tốc độ khởi tạo, không phải năng lực đã xác nhận.</w:t>
      </w:r>
    </w:p>
    <w:p>
      <w:pPr>
        <w:pStyle w:val="Heading1"/>
      </w:pPr>
      <w:r>
        <w:t>3. Architecture: Agent là trọng tâm</w:t>
      </w:r>
    </w:p>
    <w:p>
      <w:r>
        <w:drawing>
          <wp:inline xmlns:a="http://schemas.openxmlformats.org/drawingml/2006/main" xmlns:pic="http://schemas.openxmlformats.org/drawingml/2006/picture">
            <wp:extent cx="6263640" cy="3944854"/>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263640" cy="3944854"/>
                    </a:xfrm>
                    <a:prstGeom prst="rect"/>
                  </pic:spPr>
                </pic:pic>
              </a:graphicData>
            </a:graphic>
          </wp:inline>
        </w:drawing>
      </w:r>
    </w:p>
    <w:p>
      <w:r>
        <w:t>Brain dùng LangGraph cho reasoning loop, planning nhẹ, context và tool calling; Session nằm trong RDS PostgreSQL để Agent không mất lịch sử khi process bị restart; Hands là Tool Gateway truy cập Connector, Search hoặc khởi chạy Sandbox. Phân chia này theo tinh thần Anthropic [S1], còn stack AWS là lựa chọn riêng cho VBot.</w:t>
      </w:r>
    </w:p>
    <w:tbl>
      <w:tblPr>
        <w:tblStyle w:val="LightShading-Accent1"/>
        <w:tblW w:type="auto" w:w="0"/>
        <w:tblLayout w:type="fixed"/>
        <w:tblLook w:firstColumn="1" w:firstRow="1" w:lastColumn="0" w:lastRow="0" w:noHBand="0" w:noVBand="1" w:val="04A0"/>
      </w:tblPr>
      <w:tblGrid>
        <w:gridCol w:w="3312"/>
        <w:gridCol w:w="3312"/>
        <w:gridCol w:w="3312"/>
      </w:tblGrid>
      <w:tr>
        <w:tc>
          <w:tcPr>
            <w:tcW w:type="dxa" w:w="3312"/>
            <w:shd w:fill="174861"/>
          </w:tcPr>
          <w:p>
            <w:pPr>
              <w:spacing w:after="20" w:line="250" w:lineRule="auto"/>
            </w:pPr>
            <w:r>
              <w:rPr>
                <w:b/>
                <w:color w:val="FFFFFF"/>
                <w:sz w:val="15"/>
              </w:rPr>
              <w:t>Module</w:t>
            </w:r>
          </w:p>
        </w:tc>
        <w:tc>
          <w:tcPr>
            <w:tcW w:type="dxa" w:w="3312"/>
            <w:shd w:fill="174861"/>
          </w:tcPr>
          <w:p>
            <w:pPr>
              <w:spacing w:after="20" w:line="250" w:lineRule="auto"/>
            </w:pPr>
            <w:r>
              <w:rPr>
                <w:b/>
                <w:color w:val="FFFFFF"/>
                <w:sz w:val="15"/>
              </w:rPr>
              <w:t>Technology cụ thể</w:t>
            </w:r>
          </w:p>
        </w:tc>
        <w:tc>
          <w:tcPr>
            <w:tcW w:type="dxa" w:w="3312"/>
            <w:shd w:fill="174861"/>
          </w:tcPr>
          <w:p>
            <w:pPr>
              <w:spacing w:after="20" w:line="250" w:lineRule="auto"/>
            </w:pPr>
            <w:r>
              <w:rPr>
                <w:b/>
                <w:color w:val="FFFFFF"/>
                <w:sz w:val="15"/>
              </w:rPr>
              <w:t>Vai trò</w:t>
            </w:r>
          </w:p>
        </w:tc>
      </w:tr>
      <w:tr>
        <w:tc>
          <w:tcPr>
            <w:tcW w:type="dxa" w:w="3312"/>
          </w:tcPr>
          <w:p>
            <w:pPr>
              <w:spacing w:after="20" w:line="250" w:lineRule="auto"/>
            </w:pPr>
            <w:r>
              <w:rPr>
                <w:sz w:val="15"/>
              </w:rPr>
              <w:t>API + Brain</w:t>
            </w:r>
          </w:p>
        </w:tc>
        <w:tc>
          <w:tcPr>
            <w:tcW w:type="dxa" w:w="3312"/>
          </w:tcPr>
          <w:p>
            <w:pPr>
              <w:spacing w:after="20" w:line="250" w:lineRule="auto"/>
            </w:pPr>
            <w:r>
              <w:rPr>
                <w:sz w:val="15"/>
              </w:rPr>
              <w:t>FastAPI / LangGraph trên ECS Fargate</w:t>
            </w:r>
          </w:p>
        </w:tc>
        <w:tc>
          <w:tcPr>
            <w:tcW w:type="dxa" w:w="3312"/>
          </w:tcPr>
          <w:p>
            <w:pPr>
              <w:spacing w:after="20" w:line="250" w:lineRule="auto"/>
            </w:pPr>
            <w:r>
              <w:rPr>
                <w:sz w:val="15"/>
              </w:rPr>
              <w:t>Chat, stream, chọn tool, suy luận</w:t>
            </w:r>
          </w:p>
        </w:tc>
      </w:tr>
      <w:tr>
        <w:tc>
          <w:tcPr>
            <w:tcW w:type="dxa" w:w="3312"/>
          </w:tcPr>
          <w:p>
            <w:pPr>
              <w:spacing w:after="20" w:line="250" w:lineRule="auto"/>
            </w:pPr>
            <w:r>
              <w:rPr>
                <w:sz w:val="15"/>
              </w:rPr>
              <w:t>Session</w:t>
            </w:r>
          </w:p>
        </w:tc>
        <w:tc>
          <w:tcPr>
            <w:tcW w:type="dxa" w:w="3312"/>
          </w:tcPr>
          <w:p>
            <w:pPr>
              <w:spacing w:after="20" w:line="250" w:lineRule="auto"/>
            </w:pPr>
            <w:r>
              <w:rPr>
                <w:sz w:val="15"/>
              </w:rPr>
              <w:t>RDS PostgreSQL Multi-AZ</w:t>
            </w:r>
          </w:p>
        </w:tc>
        <w:tc>
          <w:tcPr>
            <w:tcW w:type="dxa" w:w="3312"/>
          </w:tcPr>
          <w:p>
            <w:pPr>
              <w:spacing w:after="20" w:line="250" w:lineRule="auto"/>
            </w:pPr>
            <w:r>
              <w:rPr>
                <w:sz w:val="15"/>
              </w:rPr>
              <w:t>Chat, checkpoints, tasks, memory</w:t>
            </w:r>
          </w:p>
        </w:tc>
      </w:tr>
      <w:tr>
        <w:tc>
          <w:tcPr>
            <w:tcW w:type="dxa" w:w="3312"/>
          </w:tcPr>
          <w:p>
            <w:pPr>
              <w:spacing w:after="20" w:line="250" w:lineRule="auto"/>
            </w:pPr>
            <w:r>
              <w:rPr>
                <w:sz w:val="15"/>
              </w:rPr>
              <w:t>Hands</w:t>
            </w:r>
          </w:p>
        </w:tc>
        <w:tc>
          <w:tcPr>
            <w:tcW w:type="dxa" w:w="3312"/>
          </w:tcPr>
          <w:p>
            <w:pPr>
              <w:spacing w:after="20" w:line="250" w:lineRule="auto"/>
            </w:pPr>
            <w:r>
              <w:rPr>
                <w:sz w:val="15"/>
              </w:rPr>
              <w:t>Tool Gateway trong FastAPI</w:t>
            </w:r>
          </w:p>
        </w:tc>
        <w:tc>
          <w:tcPr>
            <w:tcW w:type="dxa" w:w="3312"/>
          </w:tcPr>
          <w:p>
            <w:pPr>
              <w:spacing w:after="20" w:line="250" w:lineRule="auto"/>
            </w:pPr>
            <w:r>
              <w:rPr>
                <w:sz w:val="15"/>
              </w:rPr>
              <w:t>Kiểm tra quyền, approval trước thực thi</w:t>
            </w:r>
          </w:p>
        </w:tc>
      </w:tr>
      <w:tr>
        <w:tc>
          <w:tcPr>
            <w:tcW w:type="dxa" w:w="3312"/>
          </w:tcPr>
          <w:p>
            <w:pPr>
              <w:spacing w:after="20" w:line="250" w:lineRule="auto"/>
            </w:pPr>
            <w:r>
              <w:rPr>
                <w:sz w:val="15"/>
              </w:rPr>
              <w:t>Models</w:t>
            </w:r>
          </w:p>
        </w:tc>
        <w:tc>
          <w:tcPr>
            <w:tcW w:type="dxa" w:w="3312"/>
          </w:tcPr>
          <w:p>
            <w:pPr>
              <w:spacing w:after="20" w:line="250" w:lineRule="auto"/>
            </w:pPr>
            <w:r>
              <w:rPr>
                <w:sz w:val="15"/>
              </w:rPr>
              <w:t>Amazon Bedrock</w:t>
            </w:r>
          </w:p>
        </w:tc>
        <w:tc>
          <w:tcPr>
            <w:tcW w:type="dxa" w:w="3312"/>
          </w:tcPr>
          <w:p>
            <w:pPr>
              <w:spacing w:after="20" w:line="250" w:lineRule="auto"/>
            </w:pPr>
            <w:r>
              <w:rPr>
                <w:sz w:val="15"/>
              </w:rPr>
              <w:t>Claude Haiku/Sonnet; image model</w:t>
            </w:r>
          </w:p>
        </w:tc>
      </w:tr>
      <w:tr>
        <w:tc>
          <w:tcPr>
            <w:tcW w:type="dxa" w:w="3312"/>
          </w:tcPr>
          <w:p>
            <w:pPr>
              <w:spacing w:after="20" w:line="250" w:lineRule="auto"/>
            </w:pPr>
            <w:r>
              <w:rPr>
                <w:sz w:val="15"/>
              </w:rPr>
              <w:t>Enterprise Search</w:t>
            </w:r>
          </w:p>
        </w:tc>
        <w:tc>
          <w:tcPr>
            <w:tcW w:type="dxa" w:w="3312"/>
          </w:tcPr>
          <w:p>
            <w:pPr>
              <w:spacing w:after="20" w:line="250" w:lineRule="auto"/>
            </w:pPr>
            <w:r>
              <w:rPr>
                <w:sz w:val="15"/>
              </w:rPr>
              <w:t>pgvector trên RDS</w:t>
            </w:r>
          </w:p>
        </w:tc>
        <w:tc>
          <w:tcPr>
            <w:tcW w:type="dxa" w:w="3312"/>
          </w:tcPr>
          <w:p>
            <w:pPr>
              <w:spacing w:after="20" w:line="250" w:lineRule="auto"/>
            </w:pPr>
            <w:r>
              <w:rPr>
                <w:sz w:val="15"/>
              </w:rPr>
              <w:t>Search có ACL, cùng DB để giảm chi phí</w:t>
            </w:r>
          </w:p>
        </w:tc>
      </w:tr>
      <w:tr>
        <w:tc>
          <w:tcPr>
            <w:tcW w:type="dxa" w:w="3312"/>
          </w:tcPr>
          <w:p>
            <w:pPr>
              <w:spacing w:after="20" w:line="250" w:lineRule="auto"/>
            </w:pPr>
            <w:r>
              <w:rPr>
                <w:sz w:val="15"/>
              </w:rPr>
              <w:t>Sandbox</w:t>
            </w:r>
          </w:p>
        </w:tc>
        <w:tc>
          <w:tcPr>
            <w:tcW w:type="dxa" w:w="3312"/>
          </w:tcPr>
          <w:p>
            <w:pPr>
              <w:spacing w:after="20" w:line="250" w:lineRule="auto"/>
            </w:pPr>
            <w:r>
              <w:rPr>
                <w:sz w:val="15"/>
              </w:rPr>
              <w:t>Fargate Task on-demand</w:t>
            </w:r>
          </w:p>
        </w:tc>
        <w:tc>
          <w:tcPr>
            <w:tcW w:type="dxa" w:w="3312"/>
          </w:tcPr>
          <w:p>
            <w:pPr>
              <w:spacing w:after="20" w:line="250" w:lineRule="auto"/>
            </w:pPr>
            <w:r>
              <w:rPr>
                <w:sz w:val="15"/>
              </w:rPr>
              <w:t>Python, Browser, tạo tài liệu an toàn</w:t>
            </w:r>
          </w:p>
        </w:tc>
      </w:tr>
      <w:tr>
        <w:tc>
          <w:tcPr>
            <w:tcW w:type="dxa" w:w="3312"/>
          </w:tcPr>
          <w:p>
            <w:pPr>
              <w:spacing w:after="20" w:line="250" w:lineRule="auto"/>
            </w:pPr>
            <w:r>
              <w:rPr>
                <w:sz w:val="15"/>
              </w:rPr>
              <w:t>Background</w:t>
            </w:r>
          </w:p>
        </w:tc>
        <w:tc>
          <w:tcPr>
            <w:tcW w:type="dxa" w:w="3312"/>
          </w:tcPr>
          <w:p>
            <w:pPr>
              <w:spacing w:after="20" w:line="250" w:lineRule="auto"/>
            </w:pPr>
            <w:r>
              <w:rPr>
                <w:sz w:val="15"/>
              </w:rPr>
              <w:t>Amazon SQS + Fargate Worker</w:t>
            </w:r>
          </w:p>
        </w:tc>
        <w:tc>
          <w:tcPr>
            <w:tcW w:type="dxa" w:w="3312"/>
          </w:tcPr>
          <w:p>
            <w:pPr>
              <w:spacing w:after="20" w:line="250" w:lineRule="auto"/>
            </w:pPr>
            <w:r>
              <w:rPr>
                <w:sz w:val="15"/>
              </w:rPr>
              <w:t>Task dài, retry và notification</w:t>
            </w:r>
          </w:p>
        </w:tc>
      </w:tr>
      <w:tr>
        <w:tc>
          <w:tcPr>
            <w:tcW w:type="dxa" w:w="3312"/>
          </w:tcPr>
          <w:p>
            <w:pPr>
              <w:spacing w:after="20" w:line="250" w:lineRule="auto"/>
            </w:pPr>
            <w:r>
              <w:rPr>
                <w:sz w:val="15"/>
              </w:rPr>
              <w:t>Workspace</w:t>
            </w:r>
          </w:p>
        </w:tc>
        <w:tc>
          <w:tcPr>
            <w:tcW w:type="dxa" w:w="3312"/>
          </w:tcPr>
          <w:p>
            <w:pPr>
              <w:spacing w:after="20" w:line="250" w:lineRule="auto"/>
            </w:pPr>
            <w:r>
              <w:rPr>
                <w:sz w:val="15"/>
              </w:rPr>
              <w:t>S3 + Workspace Service</w:t>
            </w:r>
          </w:p>
        </w:tc>
        <w:tc>
          <w:tcPr>
            <w:tcW w:type="dxa" w:w="3312"/>
          </w:tcPr>
          <w:p>
            <w:pPr>
              <w:spacing w:after="20" w:line="250" w:lineRule="auto"/>
            </w:pPr>
            <w:r>
              <w:rPr>
                <w:sz w:val="15"/>
              </w:rPr>
              <w:t>File riêng, quota và artifact</w:t>
            </w:r>
          </w:p>
        </w:tc>
      </w:tr>
    </w:tbl>
    <w:p>
      <w:pPr>
        <w:spacing w:after="0"/>
      </w:pPr>
    </w:p>
    <w:p>
      <w:pPr>
        <w:pStyle w:val="Heading1"/>
      </w:pPr>
      <w:r>
        <w:t>4. Routing interactive/background và Agent Loop</w:t>
      </w:r>
    </w:p>
    <w:p>
      <w:r>
        <w:t>Task Router nằm trong FastAPI, dùng rule rõ ràng trước: request chat/email đơn giản → interactive; user yêu cầu chạy nền, tạo nhiều file, đọc nhiều ứng dụng → background. Với yêu cầu chưa rõ, Agent có thể quyết định ngay tại planning step đầu tiên. Không cần một classifier service riêng.</w:t>
      </w:r>
    </w:p>
    <w:p>
      <w:pPr>
        <w:pStyle w:val="ListNumber"/>
      </w:pPr>
      <w:r>
        <w:t>Interactive: User → SSO → ALB → FastAPI → Brain → Bedrock/Hands → stream response. TTFT phải tính theo token sinh thật, không tính thông báo giả.</w:t>
      </w:r>
    </w:p>
    <w:p>
      <w:pPr>
        <w:pStyle w:val="ListNumber"/>
      </w:pPr>
      <w:r>
        <w:t>Background: tạo task_id và lưu Session → SQS → Agent Worker → execute tools → lưu file → notification; user xem tiến độ qua API.</w:t>
      </w:r>
    </w:p>
    <w:p>
      <w:pPr>
        <w:pStyle w:val="ListNumber"/>
      </w:pPr>
      <w:r>
        <w:t>Nếu interactive trở nên dài: lưu checkpoint tại bước an toàn, enqueue task_id rồi Agent Worker tiếp tục từ trạng thái đã lưu; không khởi động lại từ đầu.</w:t>
      </w:r>
    </w:p>
    <w:p>
      <w:pPr>
        <w:pStyle w:val="ListNumber"/>
      </w:pPr>
      <w:r>
        <w:t>Khi tool gửi email hoặc cập nhật ticket: kiểm tra delegated OAuth, policy và user approval của hành động cụ thể; lưu action_id để tránh gửi lặp sau retry.</w:t>
      </w:r>
    </w:p>
    <w:p>
      <w:r>
        <w:t>SQS Standard có khả năng giao message lặp; vì vậy idempotency/reconciliation là trách nhiệm của Tool Gateway, không phó mặc cho Agent [S8].</w:t>
      </w:r>
    </w:p>
    <w:p>
      <w:pPr>
        <w:pStyle w:val="Heading1"/>
      </w:pPr>
      <w:r>
        <w:t>5. Model serving và quyết định API vs GPU</w:t>
      </w:r>
    </w:p>
    <w:tbl>
      <w:tblPr>
        <w:tblStyle w:val="LightShading-Accent1"/>
        <w:tblW w:type="auto" w:w="0"/>
        <w:tblLayout w:type="fixed"/>
        <w:tblLook w:firstColumn="1" w:firstRow="1" w:lastColumn="0" w:lastRow="0" w:noHBand="0" w:noVBand="1" w:val="04A0"/>
      </w:tblPr>
      <w:tblGrid>
        <w:gridCol w:w="3312"/>
        <w:gridCol w:w="3312"/>
        <w:gridCol w:w="3312"/>
      </w:tblGrid>
      <w:tr>
        <w:tc>
          <w:tcPr>
            <w:tcW w:type="dxa" w:w="3312"/>
            <w:shd w:fill="174861"/>
          </w:tcPr>
          <w:p>
            <w:pPr>
              <w:spacing w:after="20" w:line="250" w:lineRule="auto"/>
            </w:pPr>
            <w:r>
              <w:rPr>
                <w:b/>
                <w:color w:val="FFFFFF"/>
                <w:sz w:val="15"/>
              </w:rPr>
              <w:t>Cấp</w:t>
            </w:r>
          </w:p>
        </w:tc>
        <w:tc>
          <w:tcPr>
            <w:tcW w:type="dxa" w:w="3312"/>
            <w:shd w:fill="174861"/>
          </w:tcPr>
          <w:p>
            <w:pPr>
              <w:spacing w:after="20" w:line="250" w:lineRule="auto"/>
            </w:pPr>
            <w:r>
              <w:rPr>
                <w:b/>
                <w:color w:val="FFFFFF"/>
                <w:sz w:val="15"/>
              </w:rPr>
              <w:t>Model baseline</w:t>
            </w:r>
          </w:p>
        </w:tc>
        <w:tc>
          <w:tcPr>
            <w:tcW w:type="dxa" w:w="3312"/>
            <w:shd w:fill="174861"/>
          </w:tcPr>
          <w:p>
            <w:pPr>
              <w:spacing w:after="20" w:line="250" w:lineRule="auto"/>
            </w:pPr>
            <w:r>
              <w:rPr>
                <w:b/>
                <w:color w:val="FFFFFF"/>
                <w:sz w:val="15"/>
              </w:rPr>
              <w:t>Điều kiện chất lượng</w:t>
            </w:r>
          </w:p>
        </w:tc>
      </w:tr>
      <w:tr>
        <w:tc>
          <w:tcPr>
            <w:tcW w:type="dxa" w:w="3312"/>
          </w:tcPr>
          <w:p>
            <w:pPr>
              <w:spacing w:after="20" w:line="250" w:lineRule="auto"/>
            </w:pPr>
            <w:r>
              <w:rPr>
                <w:sz w:val="15"/>
              </w:rPr>
              <w:t>1</w:t>
            </w:r>
          </w:p>
        </w:tc>
        <w:tc>
          <w:tcPr>
            <w:tcW w:type="dxa" w:w="3312"/>
          </w:tcPr>
          <w:p>
            <w:pPr>
              <w:spacing w:after="20" w:line="250" w:lineRule="auto"/>
            </w:pPr>
            <w:r>
              <w:rPr>
                <w:sz w:val="15"/>
              </w:rPr>
              <w:t>Claude Haiku 4.5</w:t>
            </w:r>
          </w:p>
        </w:tc>
        <w:tc>
          <w:tcPr>
            <w:tcW w:type="dxa" w:w="3312"/>
          </w:tcPr>
          <w:p>
            <w:pPr>
              <w:spacing w:after="20" w:line="250" w:lineRule="auto"/>
            </w:pPr>
            <w:r>
              <w:rPr>
                <w:sz w:val="15"/>
              </w:rPr>
              <w:t>Ưu tiên nhanh và tiết kiệm; fallback khi cần</w:t>
            </w:r>
          </w:p>
        </w:tc>
      </w:tr>
      <w:tr>
        <w:tc>
          <w:tcPr>
            <w:tcW w:type="dxa" w:w="3312"/>
          </w:tcPr>
          <w:p>
            <w:pPr>
              <w:spacing w:after="20" w:line="250" w:lineRule="auto"/>
            </w:pPr>
            <w:r>
              <w:rPr>
                <w:sz w:val="15"/>
              </w:rPr>
              <w:t>2</w:t>
            </w:r>
          </w:p>
        </w:tc>
        <w:tc>
          <w:tcPr>
            <w:tcW w:type="dxa" w:w="3312"/>
          </w:tcPr>
          <w:p>
            <w:pPr>
              <w:spacing w:after="20" w:line="250" w:lineRule="auto"/>
            </w:pPr>
            <w:r>
              <w:rPr>
                <w:sz w:val="15"/>
              </w:rPr>
              <w:t>60% Haiku / 40% Sonnet 4.6</w:t>
            </w:r>
          </w:p>
        </w:tc>
        <w:tc>
          <w:tcPr>
            <w:tcW w:type="dxa" w:w="3312"/>
          </w:tcPr>
          <w:p>
            <w:pPr>
              <w:spacing w:after="20" w:line="250" w:lineRule="auto"/>
            </w:pPr>
            <w:r>
              <w:rPr>
                <w:sz w:val="15"/>
              </w:rPr>
              <w:t>Kiểm tra nội dung và render file</w:t>
            </w:r>
          </w:p>
        </w:tc>
      </w:tr>
      <w:tr>
        <w:tc>
          <w:tcPr>
            <w:tcW w:type="dxa" w:w="3312"/>
          </w:tcPr>
          <w:p>
            <w:pPr>
              <w:spacing w:after="20" w:line="250" w:lineRule="auto"/>
            </w:pPr>
            <w:r>
              <w:rPr>
                <w:sz w:val="15"/>
              </w:rPr>
              <w:t>3</w:t>
            </w:r>
          </w:p>
        </w:tc>
        <w:tc>
          <w:tcPr>
            <w:tcW w:type="dxa" w:w="3312"/>
          </w:tcPr>
          <w:p>
            <w:pPr>
              <w:spacing w:after="20" w:line="250" w:lineRule="auto"/>
            </w:pPr>
            <w:r>
              <w:rPr>
                <w:sz w:val="15"/>
              </w:rPr>
              <w:t>Sonnet 4.6</w:t>
            </w:r>
          </w:p>
        </w:tc>
        <w:tc>
          <w:tcPr>
            <w:tcW w:type="dxa" w:w="3312"/>
          </w:tcPr>
          <w:p>
            <w:pPr>
              <w:spacing w:after="20" w:line="250" w:lineRule="auto"/>
            </w:pPr>
            <w:r>
              <w:rPr>
                <w:sz w:val="15"/>
              </w:rPr>
              <w:t>Code phải chạy được và vượt test</w:t>
            </w:r>
          </w:p>
        </w:tc>
      </w:tr>
      <w:tr>
        <w:tc>
          <w:tcPr>
            <w:tcW w:type="dxa" w:w="3312"/>
          </w:tcPr>
          <w:p>
            <w:pPr>
              <w:spacing w:after="20" w:line="250" w:lineRule="auto"/>
            </w:pPr>
            <w:r>
              <w:rPr>
                <w:sz w:val="15"/>
              </w:rPr>
              <w:t>4</w:t>
            </w:r>
          </w:p>
        </w:tc>
        <w:tc>
          <w:tcPr>
            <w:tcW w:type="dxa" w:w="3312"/>
          </w:tcPr>
          <w:p>
            <w:pPr>
              <w:spacing w:after="20" w:line="250" w:lineRule="auto"/>
            </w:pPr>
            <w:r>
              <w:rPr>
                <w:sz w:val="15"/>
              </w:rPr>
              <w:t>Sonnet 4.6</w:t>
            </w:r>
          </w:p>
        </w:tc>
        <w:tc>
          <w:tcPr>
            <w:tcW w:type="dxa" w:w="3312"/>
          </w:tcPr>
          <w:p>
            <w:pPr>
              <w:spacing w:after="20" w:line="250" w:lineRule="auto"/>
            </w:pPr>
            <w:r>
              <w:rPr>
                <w:sz w:val="15"/>
              </w:rPr>
              <w:t>Task đúng, có approval và audit</w:t>
            </w:r>
          </w:p>
        </w:tc>
      </w:tr>
      <w:tr>
        <w:tc>
          <w:tcPr>
            <w:tcW w:type="dxa" w:w="3312"/>
          </w:tcPr>
          <w:p>
            <w:pPr>
              <w:spacing w:after="20" w:line="250" w:lineRule="auto"/>
            </w:pPr>
            <w:r>
              <w:rPr>
                <w:sz w:val="15"/>
              </w:rPr>
              <w:t>5</w:t>
            </w:r>
          </w:p>
        </w:tc>
        <w:tc>
          <w:tcPr>
            <w:tcW w:type="dxa" w:w="3312"/>
          </w:tcPr>
          <w:p>
            <w:pPr>
              <w:spacing w:after="20" w:line="250" w:lineRule="auto"/>
            </w:pPr>
            <w:r>
              <w:rPr>
                <w:sz w:val="15"/>
              </w:rPr>
              <w:t>Sonnet 4.6 + image model</w:t>
            </w:r>
          </w:p>
        </w:tc>
        <w:tc>
          <w:tcPr>
            <w:tcW w:type="dxa" w:w="3312"/>
          </w:tcPr>
          <w:p>
            <w:pPr>
              <w:spacing w:after="20" w:line="250" w:lineRule="auto"/>
            </w:pPr>
            <w:r>
              <w:rPr>
                <w:sz w:val="15"/>
              </w:rPr>
              <w:t>Đúng yêu cầu mockup, file hợp lệ</w:t>
            </w:r>
          </w:p>
        </w:tc>
      </w:tr>
    </w:tbl>
    <w:p>
      <w:pPr>
        <w:spacing w:after="0"/>
      </w:pPr>
    </w:p>
    <w:p>
      <w:r>
        <w:t>Giá token tham chiếu từ tài liệu AWS: Haiku 4.5: $1,10 input và $5,50 output / triệu token [S3]; Sonnet 4.6: $3 input và $15 output / triệu token [S4]. Kịch bản này chưa trừ prompt cache hoặc discount, cần xác minh model tier đúng trong Bedrock Singapore.</w:t>
      </w:r>
    </w:p>
    <w:tbl>
      <w:tblPr>
        <w:tblStyle w:val="LightShading-Accent1"/>
        <w:tblW w:type="auto" w:w="0"/>
        <w:tblLayout w:type="fixed"/>
        <w:tblLook w:firstColumn="1" w:firstRow="1" w:lastColumn="0" w:lastRow="0" w:noHBand="0" w:noVBand="1" w:val="04A0"/>
      </w:tblPr>
      <w:tblGrid>
        <w:gridCol w:w="4968"/>
        <w:gridCol w:w="4968"/>
      </w:tblGrid>
      <w:tr>
        <w:tc>
          <w:tcPr>
            <w:tcW w:type="dxa" w:w="4968"/>
            <w:shd w:fill="174861"/>
          </w:tcPr>
          <w:p>
            <w:pPr>
              <w:spacing w:after="20" w:line="250" w:lineRule="auto"/>
            </w:pPr>
            <w:r>
              <w:rPr>
                <w:b/>
                <w:color w:val="FFFFFF"/>
                <w:sz w:val="15"/>
              </w:rPr>
              <w:t>Cấp</w:t>
            </w:r>
          </w:p>
        </w:tc>
        <w:tc>
          <w:tcPr>
            <w:tcW w:type="dxa" w:w="4968"/>
            <w:shd w:fill="174861"/>
          </w:tcPr>
          <w:p>
            <w:pPr>
              <w:spacing w:after="20" w:line="250" w:lineRule="auto"/>
            </w:pPr>
            <w:r>
              <w:rPr>
                <w:b/>
                <w:color w:val="FFFFFF"/>
                <w:sz w:val="15"/>
              </w:rPr>
              <w:t>Chi phí LLM/tháng</w:t>
            </w:r>
          </w:p>
        </w:tc>
      </w:tr>
      <w:tr>
        <w:tc>
          <w:tcPr>
            <w:tcW w:type="dxa" w:w="4968"/>
          </w:tcPr>
          <w:p>
            <w:pPr>
              <w:spacing w:after="20" w:line="250" w:lineRule="auto"/>
            </w:pPr>
            <w:r>
              <w:rPr>
                <w:sz w:val="15"/>
              </w:rPr>
              <w:t>L1</w:t>
            </w:r>
          </w:p>
        </w:tc>
        <w:tc>
          <w:tcPr>
            <w:tcW w:type="dxa" w:w="4968"/>
          </w:tcPr>
          <w:p>
            <w:pPr>
              <w:spacing w:after="20" w:line="250" w:lineRule="auto"/>
            </w:pPr>
            <w:r>
              <w:rPr>
                <w:sz w:val="15"/>
              </w:rPr>
              <w:t>$335,41</w:t>
            </w:r>
          </w:p>
        </w:tc>
      </w:tr>
      <w:tr>
        <w:tc>
          <w:tcPr>
            <w:tcW w:type="dxa" w:w="4968"/>
          </w:tcPr>
          <w:p>
            <w:pPr>
              <w:spacing w:after="20" w:line="250" w:lineRule="auto"/>
            </w:pPr>
            <w:r>
              <w:rPr>
                <w:sz w:val="15"/>
              </w:rPr>
              <w:t>L2</w:t>
            </w:r>
          </w:p>
        </w:tc>
        <w:tc>
          <w:tcPr>
            <w:tcW w:type="dxa" w:w="4968"/>
          </w:tcPr>
          <w:p>
            <w:pPr>
              <w:spacing w:after="20" w:line="250" w:lineRule="auto"/>
            </w:pPr>
            <w:r>
              <w:rPr>
                <w:sz w:val="15"/>
              </w:rPr>
              <w:t>$1.211,23</w:t>
            </w:r>
          </w:p>
        </w:tc>
      </w:tr>
      <w:tr>
        <w:tc>
          <w:tcPr>
            <w:tcW w:type="dxa" w:w="4968"/>
          </w:tcPr>
          <w:p>
            <w:pPr>
              <w:spacing w:after="20" w:line="250" w:lineRule="auto"/>
            </w:pPr>
            <w:r>
              <w:rPr>
                <w:sz w:val="15"/>
              </w:rPr>
              <w:t>L3</w:t>
            </w:r>
          </w:p>
        </w:tc>
        <w:tc>
          <w:tcPr>
            <w:tcW w:type="dxa" w:w="4968"/>
          </w:tcPr>
          <w:p>
            <w:pPr>
              <w:spacing w:after="20" w:line="250" w:lineRule="auto"/>
            </w:pPr>
            <w:r>
              <w:rPr>
                <w:sz w:val="15"/>
              </w:rPr>
              <w:t>$1.504,80</w:t>
            </w:r>
          </w:p>
        </w:tc>
      </w:tr>
      <w:tr>
        <w:tc>
          <w:tcPr>
            <w:tcW w:type="dxa" w:w="4968"/>
          </w:tcPr>
          <w:p>
            <w:pPr>
              <w:spacing w:after="20" w:line="250" w:lineRule="auto"/>
            </w:pPr>
            <w:r>
              <w:rPr>
                <w:sz w:val="15"/>
              </w:rPr>
              <w:t>L4</w:t>
            </w:r>
          </w:p>
        </w:tc>
        <w:tc>
          <w:tcPr>
            <w:tcW w:type="dxa" w:w="4968"/>
          </w:tcPr>
          <w:p>
            <w:pPr>
              <w:spacing w:after="20" w:line="250" w:lineRule="auto"/>
            </w:pPr>
            <w:r>
              <w:rPr>
                <w:sz w:val="15"/>
              </w:rPr>
              <w:t>$2.376,00</w:t>
            </w:r>
          </w:p>
        </w:tc>
      </w:tr>
      <w:tr>
        <w:tc>
          <w:tcPr>
            <w:tcW w:type="dxa" w:w="4968"/>
          </w:tcPr>
          <w:p>
            <w:pPr>
              <w:spacing w:after="20" w:line="250" w:lineRule="auto"/>
            </w:pPr>
            <w:r>
              <w:rPr>
                <w:sz w:val="15"/>
              </w:rPr>
              <w:t>L5</w:t>
            </w:r>
          </w:p>
        </w:tc>
        <w:tc>
          <w:tcPr>
            <w:tcW w:type="dxa" w:w="4968"/>
          </w:tcPr>
          <w:p>
            <w:pPr>
              <w:spacing w:after="20" w:line="250" w:lineRule="auto"/>
            </w:pPr>
            <w:r>
              <w:rPr>
                <w:sz w:val="15"/>
              </w:rPr>
              <w:t>$356,40</w:t>
            </w:r>
          </w:p>
        </w:tc>
      </w:tr>
      <w:tr>
        <w:tc>
          <w:tcPr>
            <w:tcW w:type="dxa" w:w="4968"/>
          </w:tcPr>
          <w:p>
            <w:pPr>
              <w:spacing w:after="20" w:line="250" w:lineRule="auto"/>
            </w:pPr>
            <w:r>
              <w:rPr>
                <w:sz w:val="15"/>
              </w:rPr>
              <w:t>Tổng text</w:t>
            </w:r>
          </w:p>
        </w:tc>
        <w:tc>
          <w:tcPr>
            <w:tcW w:type="dxa" w:w="4968"/>
          </w:tcPr>
          <w:p>
            <w:pPr>
              <w:spacing w:after="20" w:line="250" w:lineRule="auto"/>
            </w:pPr>
            <w:r>
              <w:rPr>
                <w:sz w:val="15"/>
              </w:rPr>
              <w:t>$5.783,84</w:t>
            </w:r>
          </w:p>
        </w:tc>
      </w:tr>
    </w:tbl>
    <w:p>
      <w:pPr>
        <w:spacing w:after="0"/>
      </w:pPr>
    </w:p>
    <w:p>
      <w:r>
        <w:t>Cấp 5 tạm dự trù thêm 8.800 ảnh × $0,04/ảnh = $352/tháng. Đơn giá $0,04 là placeholder chưa xác minh SKU hoặc region, không được sử dụng như price evidence chính thức. Total model tạm tính $6.135,84/tháng.</w:t>
      </w:r>
    </w:p>
    <w:p>
      <w:r>
        <w:t>Lý do chọn Managed API: không cần GPU hoạt động liên tục và dễ tối ưu theo usage thực tế. Chỉ chuyển self-host nếu chi phí GPU + HA + serving + nhân sự thấp hơn Bedrock sau khi đo throughput và cùng mức chất lượng. Chưa thể công bố điểm hòa vốn nếu không benchmark.</w:t>
      </w:r>
    </w:p>
    <w:p>
      <w:r>
        <w:t>Model Claude Haiku 4.5/Sonnet 4.6 có Global Cross-Region Inference từ Singapore [S2]. AWS có thể xử lý inference ngoài Singapore, cần disclosure về data residency và kiểm tra policy trước khi triển khai.</w:t>
      </w:r>
    </w:p>
    <w:p>
      <w:pPr>
        <w:pStyle w:val="Heading1"/>
      </w:pPr>
      <w:r>
        <w:t>6. Connectors, Search và Workspace</w:t>
      </w:r>
    </w:p>
    <w:p>
      <w:r>
        <w:t>Mỗi SaaS Connector sử dụng delegated OAuth theo tài khoản nhân viên. Token được mã hóa trong Secrets Manager/KMS; Sandbox không nhìn thấy token. Enterprise Search lưu resource_id, tenant_id, owner/ACL, vector, nguồn và thời điểm sync quyền. Bất cứ kết quả nào đưa vào context đều phải được lọc theo quyền gốc; quyền không xác minh được thì từ chối.</w:t>
      </w:r>
    </w:p>
    <w:p>
      <w:r>
        <w:t>Workspace Service là điểm duy nhất đọc/ghi S3 theo owner_user_id/tenant_id, kiểm tra 10 GB quota, loại file, chính sách lưu và DLP trước khi publish. Quota 10 GB/user tạo mức trần logic 20 TB, nhưng bài toán báo giá phải dùng lượng thực lưu ước tính 3 TB.</w:t>
      </w:r>
    </w:p>
    <w:p>
      <w:pPr>
        <w:pStyle w:val="Heading1"/>
      </w:pPr>
      <w:r>
        <w:t>7. Sandbox &amp; Security</w:t>
      </w:r>
    </w:p>
    <w:p>
      <w:r>
        <w:t>Mọi code do Agent sinh ra chạy trong Fargate Task riêng, không chạy trực tiếp trên Agent Worker. Fargate cung cấp cơ chế cô lập workload bằng ảo hóa [S5]. Phương án ban đầu: 1 vCPU/2 GB, task timeout tối đa 5 phút, không public IP, chặn Internet egress mặc định, không cho truy cập mạng nội bộ và không có IAM permission rộng.</w:t>
      </w:r>
    </w:p>
    <w:p>
      <w:r>
        <w:t>Việc pull container image, nhận file đầu vào và lấy artifact đầu ra cần đi qua các AWS endpoints được cho phép hoặc Sandbox Manager, không đồng nghĩa mở Internet. Không đưa OAuth credential vào Sandbox. Sandbox hủy sau khi chạy; file đã kiểm tra được chuyển về S3 bền vững.</w:t>
      </w:r>
    </w:p>
    <w:tbl>
      <w:tblPr>
        <w:tblStyle w:val="LightShading-Accent1"/>
        <w:tblW w:type="auto" w:w="0"/>
        <w:tblLayout w:type="fixed"/>
        <w:tblLook w:firstColumn="1" w:firstRow="1" w:lastColumn="0" w:lastRow="0" w:noHBand="0" w:noVBand="1" w:val="04A0"/>
      </w:tblPr>
      <w:tblGrid>
        <w:gridCol w:w="4968"/>
        <w:gridCol w:w="4968"/>
      </w:tblGrid>
      <w:tr>
        <w:tc>
          <w:tcPr>
            <w:tcW w:type="dxa" w:w="4968"/>
            <w:shd w:fill="174861"/>
          </w:tcPr>
          <w:p>
            <w:pPr>
              <w:spacing w:after="20" w:line="250" w:lineRule="auto"/>
            </w:pPr>
            <w:r>
              <w:rPr>
                <w:b/>
                <w:color w:val="FFFFFF"/>
                <w:sz w:val="15"/>
              </w:rPr>
              <w:t>Rủi ro</w:t>
            </w:r>
          </w:p>
        </w:tc>
        <w:tc>
          <w:tcPr>
            <w:tcW w:type="dxa" w:w="4968"/>
            <w:shd w:fill="174861"/>
          </w:tcPr>
          <w:p>
            <w:pPr>
              <w:spacing w:after="20" w:line="250" w:lineRule="auto"/>
            </w:pPr>
            <w:r>
              <w:rPr>
                <w:b/>
                <w:color w:val="FFFFFF"/>
                <w:sz w:val="15"/>
              </w:rPr>
              <w:t>Kiểm soát bắt buộc</w:t>
            </w:r>
          </w:p>
        </w:tc>
      </w:tr>
      <w:tr>
        <w:tc>
          <w:tcPr>
            <w:tcW w:type="dxa" w:w="4968"/>
          </w:tcPr>
          <w:p>
            <w:pPr>
              <w:spacing w:after="20" w:line="250" w:lineRule="auto"/>
            </w:pPr>
            <w:r>
              <w:rPr>
                <w:sz w:val="15"/>
              </w:rPr>
              <w:t>User A đọc file B</w:t>
            </w:r>
          </w:p>
        </w:tc>
        <w:tc>
          <w:tcPr>
            <w:tcW w:type="dxa" w:w="4968"/>
          </w:tcPr>
          <w:p>
            <w:pPr>
              <w:spacing w:after="20" w:line="250" w:lineRule="auto"/>
            </w:pPr>
            <w:r>
              <w:rPr>
                <w:sz w:val="15"/>
              </w:rPr>
              <w:t>ACL tại Workspace, DB và Search; test chéo user</w:t>
            </w:r>
          </w:p>
        </w:tc>
      </w:tr>
      <w:tr>
        <w:tc>
          <w:tcPr>
            <w:tcW w:type="dxa" w:w="4968"/>
          </w:tcPr>
          <w:p>
            <w:pPr>
              <w:spacing w:after="20" w:line="250" w:lineRule="auto"/>
            </w:pPr>
            <w:r>
              <w:rPr>
                <w:sz w:val="15"/>
              </w:rPr>
              <w:t>Email chứa prompt injection</w:t>
            </w:r>
          </w:p>
        </w:tc>
        <w:tc>
          <w:tcPr>
            <w:tcW w:type="dxa" w:w="4968"/>
          </w:tcPr>
          <w:p>
            <w:pPr>
              <w:spacing w:after="20" w:line="250" w:lineRule="auto"/>
            </w:pPr>
            <w:r>
              <w:rPr>
                <w:sz w:val="15"/>
              </w:rPr>
              <w:t>Coi email là dữ liệu, không phải instruction; Approval trước send</w:t>
            </w:r>
          </w:p>
        </w:tc>
      </w:tr>
      <w:tr>
        <w:tc>
          <w:tcPr>
            <w:tcW w:type="dxa" w:w="4968"/>
          </w:tcPr>
          <w:p>
            <w:pPr>
              <w:spacing w:after="20" w:line="250" w:lineRule="auto"/>
            </w:pPr>
            <w:r>
              <w:rPr>
                <w:sz w:val="15"/>
              </w:rPr>
              <w:t>Sandbox gọi mạng nội bộ</w:t>
            </w:r>
          </w:p>
        </w:tc>
        <w:tc>
          <w:tcPr>
            <w:tcW w:type="dxa" w:w="4968"/>
          </w:tcPr>
          <w:p>
            <w:pPr>
              <w:spacing w:after="20" w:line="250" w:lineRule="auto"/>
            </w:pPr>
            <w:r>
              <w:rPr>
                <w:sz w:val="15"/>
              </w:rPr>
              <w:t>Network deny, task isolation, test địa chỉ nội bộ/metadata</w:t>
            </w:r>
          </w:p>
        </w:tc>
      </w:tr>
      <w:tr>
        <w:tc>
          <w:tcPr>
            <w:tcW w:type="dxa" w:w="4968"/>
          </w:tcPr>
          <w:p>
            <w:pPr>
              <w:spacing w:after="20" w:line="250" w:lineRule="auto"/>
            </w:pPr>
            <w:r>
              <w:rPr>
                <w:sz w:val="15"/>
              </w:rPr>
              <w:t>Lộ dữ liệu cá nhân</w:t>
            </w:r>
          </w:p>
        </w:tc>
        <w:tc>
          <w:tcPr>
            <w:tcW w:type="dxa" w:w="4968"/>
          </w:tcPr>
          <w:p>
            <w:pPr>
              <w:spacing w:after="20" w:line="250" w:lineRule="auto"/>
            </w:pPr>
            <w:r>
              <w:rPr>
                <w:sz w:val="15"/>
              </w:rPr>
              <w:t>PII masking, DLP, giới hạn output và retention</w:t>
            </w:r>
          </w:p>
        </w:tc>
      </w:tr>
      <w:tr>
        <w:tc>
          <w:tcPr>
            <w:tcW w:type="dxa" w:w="4968"/>
          </w:tcPr>
          <w:p>
            <w:pPr>
              <w:spacing w:after="20" w:line="250" w:lineRule="auto"/>
            </w:pPr>
            <w:r>
              <w:rPr>
                <w:sz w:val="15"/>
              </w:rPr>
              <w:t>Model/prompt mới gây lỗi</w:t>
            </w:r>
          </w:p>
        </w:tc>
        <w:tc>
          <w:tcPr>
            <w:tcW w:type="dxa" w:w="4968"/>
          </w:tcPr>
          <w:p>
            <w:pPr>
              <w:spacing w:after="20" w:line="250" w:lineRule="auto"/>
            </w:pPr>
            <w:r>
              <w:rPr>
                <w:sz w:val="15"/>
              </w:rPr>
              <w:t>Golden set + Eval Gate + rollback</w:t>
            </w:r>
          </w:p>
        </w:tc>
      </w:tr>
    </w:tbl>
    <w:p>
      <w:pPr>
        <w:spacing w:after="0"/>
      </w:pPr>
    </w:p>
    <w:p>
      <w:r>
        <w:t>Bedrock nêu rằng input/output không dùng để train model và không được chia sẻ cho model providers [S6]. Dữ liệu trong VBot vẫn cần TLS, encryption at rest, classification, audit log 12 tháng và kiểm soát thời hạn lưu. Các read actions không mặc định cần approval; email send/ticket write/delete file bắt buộc xác nhận đúng nội dung, tài khoản và đích.</w:t>
      </w:r>
    </w:p>
    <w:p>
      <w:pPr>
        <w:pStyle w:val="Heading1"/>
      </w:pPr>
      <w:r>
        <w:t>8. Production Infrastructure, HA và Operations</w:t>
      </w:r>
    </w:p>
    <w:p>
      <w:r>
        <w:t>Chọn AWS Singapore làm cloud chính vì gần người dùng Việt Nam và có dịch vụ ECS, SQS, S3, RDS, Cognito và Bedrock endpoint. Prod có ALB, 2 API Fargate Tasks trải 2 AZ, 2 Agent Workers làm baseline và autoscaling theo hàng đợi. RDS PostgreSQL Multi-AZ; staging riêng có cấu hình nhỏ và dữ liệu test riêng.</w:t>
      </w:r>
    </w:p>
    <w:tbl>
      <w:tblPr>
        <w:tblStyle w:val="LightShading-Accent1"/>
        <w:tblW w:type="auto" w:w="0"/>
        <w:tblLayout w:type="fixed"/>
        <w:tblLook w:firstColumn="1" w:firstRow="1" w:lastColumn="0" w:lastRow="0" w:noHBand="0" w:noVBand="1" w:val="04A0"/>
      </w:tblPr>
      <w:tblGrid>
        <w:gridCol w:w="4968"/>
        <w:gridCol w:w="4968"/>
      </w:tblGrid>
      <w:tr>
        <w:tc>
          <w:tcPr>
            <w:tcW w:type="dxa" w:w="4968"/>
            <w:shd w:fill="174861"/>
          </w:tcPr>
          <w:p>
            <w:pPr>
              <w:spacing w:after="20" w:line="250" w:lineRule="auto"/>
            </w:pPr>
            <w:r>
              <w:rPr>
                <w:b/>
                <w:color w:val="FFFFFF"/>
                <w:sz w:val="15"/>
              </w:rPr>
              <w:t>Mảng</w:t>
            </w:r>
          </w:p>
        </w:tc>
        <w:tc>
          <w:tcPr>
            <w:tcW w:type="dxa" w:w="4968"/>
            <w:shd w:fill="174861"/>
          </w:tcPr>
          <w:p>
            <w:pPr>
              <w:spacing w:after="20" w:line="250" w:lineRule="auto"/>
            </w:pPr>
            <w:r>
              <w:rPr>
                <w:b/>
                <w:color w:val="FFFFFF"/>
                <w:sz w:val="15"/>
              </w:rPr>
              <w:t>AWS service / trách nhiệm</w:t>
            </w:r>
          </w:p>
        </w:tc>
      </w:tr>
      <w:tr>
        <w:tc>
          <w:tcPr>
            <w:tcW w:type="dxa" w:w="4968"/>
          </w:tcPr>
          <w:p>
            <w:pPr>
              <w:spacing w:after="20" w:line="250" w:lineRule="auto"/>
            </w:pPr>
            <w:r>
              <w:rPr>
                <w:sz w:val="15"/>
              </w:rPr>
              <w:t>Load Balancer / Gateway</w:t>
            </w:r>
          </w:p>
        </w:tc>
        <w:tc>
          <w:tcPr>
            <w:tcW w:type="dxa" w:w="4968"/>
          </w:tcPr>
          <w:p>
            <w:pPr>
              <w:spacing w:after="20" w:line="250" w:lineRule="auto"/>
            </w:pPr>
            <w:r>
              <w:rPr>
                <w:sz w:val="15"/>
              </w:rPr>
              <w:t>ALB + FastAPI API Gateway; WAF bảo vệ request</w:t>
            </w:r>
          </w:p>
        </w:tc>
      </w:tr>
      <w:tr>
        <w:tc>
          <w:tcPr>
            <w:tcW w:type="dxa" w:w="4968"/>
          </w:tcPr>
          <w:p>
            <w:pPr>
              <w:spacing w:after="20" w:line="250" w:lineRule="auto"/>
            </w:pPr>
            <w:r>
              <w:rPr>
                <w:sz w:val="15"/>
              </w:rPr>
              <w:t>Identity</w:t>
            </w:r>
          </w:p>
        </w:tc>
        <w:tc>
          <w:tcPr>
            <w:tcW w:type="dxa" w:w="4968"/>
          </w:tcPr>
          <w:p>
            <w:pPr>
              <w:spacing w:after="20" w:line="250" w:lineRule="auto"/>
            </w:pPr>
            <w:r>
              <w:rPr>
                <w:sz w:val="15"/>
              </w:rPr>
              <w:t>Cognito SSO/MFA + Corporate IdP, OAuth minimum scope</w:t>
            </w:r>
          </w:p>
        </w:tc>
      </w:tr>
      <w:tr>
        <w:tc>
          <w:tcPr>
            <w:tcW w:type="dxa" w:w="4968"/>
          </w:tcPr>
          <w:p>
            <w:pPr>
              <w:spacing w:after="20" w:line="250" w:lineRule="auto"/>
            </w:pPr>
            <w:r>
              <w:rPr>
                <w:sz w:val="15"/>
              </w:rPr>
              <w:t>Network</w:t>
            </w:r>
          </w:p>
        </w:tc>
        <w:tc>
          <w:tcPr>
            <w:tcW w:type="dxa" w:w="4968"/>
          </w:tcPr>
          <w:p>
            <w:pPr>
              <w:spacing w:after="20" w:line="250" w:lineRule="auto"/>
            </w:pPr>
            <w:r>
              <w:rPr>
                <w:sz w:val="15"/>
              </w:rPr>
              <w:t>VPC private subnets, NAT/approved endpoints, controlled egress</w:t>
            </w:r>
          </w:p>
        </w:tc>
      </w:tr>
      <w:tr>
        <w:tc>
          <w:tcPr>
            <w:tcW w:type="dxa" w:w="4968"/>
          </w:tcPr>
          <w:p>
            <w:pPr>
              <w:spacing w:after="20" w:line="250" w:lineRule="auto"/>
            </w:pPr>
            <w:r>
              <w:rPr>
                <w:sz w:val="15"/>
              </w:rPr>
              <w:t>Security</w:t>
            </w:r>
          </w:p>
        </w:tc>
        <w:tc>
          <w:tcPr>
            <w:tcW w:type="dxa" w:w="4968"/>
          </w:tcPr>
          <w:p>
            <w:pPr>
              <w:spacing w:after="20" w:line="250" w:lineRule="auto"/>
            </w:pPr>
            <w:r>
              <w:rPr>
                <w:sz w:val="15"/>
              </w:rPr>
              <w:t>Secrets Manager + KMS, Bedrock Guardrails, DLP checks</w:t>
            </w:r>
          </w:p>
        </w:tc>
      </w:tr>
      <w:tr>
        <w:tc>
          <w:tcPr>
            <w:tcW w:type="dxa" w:w="4968"/>
          </w:tcPr>
          <w:p>
            <w:pPr>
              <w:spacing w:after="20" w:line="250" w:lineRule="auto"/>
            </w:pPr>
            <w:r>
              <w:rPr>
                <w:sz w:val="15"/>
              </w:rPr>
              <w:t>Monitoring / FinOps</w:t>
            </w:r>
          </w:p>
        </w:tc>
        <w:tc>
          <w:tcPr>
            <w:tcW w:type="dxa" w:w="4968"/>
          </w:tcPr>
          <w:p>
            <w:pPr>
              <w:spacing w:after="20" w:line="250" w:lineRule="auto"/>
            </w:pPr>
            <w:r>
              <w:rPr>
                <w:sz w:val="15"/>
              </w:rPr>
              <w:t>CloudWatch + AWS Budgets + usage per user/team</w:t>
            </w:r>
          </w:p>
        </w:tc>
      </w:tr>
      <w:tr>
        <w:tc>
          <w:tcPr>
            <w:tcW w:type="dxa" w:w="4968"/>
          </w:tcPr>
          <w:p>
            <w:pPr>
              <w:spacing w:after="20" w:line="250" w:lineRule="auto"/>
            </w:pPr>
            <w:r>
              <w:rPr>
                <w:sz w:val="15"/>
              </w:rPr>
              <w:t>Backup / DR</w:t>
            </w:r>
          </w:p>
        </w:tc>
        <w:tc>
          <w:tcPr>
            <w:tcW w:type="dxa" w:w="4968"/>
          </w:tcPr>
          <w:p>
            <w:pPr>
              <w:spacing w:after="20" w:line="250" w:lineRule="auto"/>
            </w:pPr>
            <w:r>
              <w:rPr>
                <w:sz w:val="15"/>
              </w:rPr>
              <w:t>RDS automated backups/PITR, S3 versioning, recovery drill</w:t>
            </w:r>
          </w:p>
        </w:tc>
      </w:tr>
      <w:tr>
        <w:tc>
          <w:tcPr>
            <w:tcW w:type="dxa" w:w="4968"/>
          </w:tcPr>
          <w:p>
            <w:pPr>
              <w:spacing w:after="20" w:line="250" w:lineRule="auto"/>
            </w:pPr>
            <w:r>
              <w:rPr>
                <w:sz w:val="15"/>
              </w:rPr>
              <w:t>Deployment</w:t>
            </w:r>
          </w:p>
        </w:tc>
        <w:tc>
          <w:tcPr>
            <w:tcW w:type="dxa" w:w="4968"/>
          </w:tcPr>
          <w:p>
            <w:pPr>
              <w:spacing w:after="20" w:line="250" w:lineRule="auto"/>
            </w:pPr>
            <w:r>
              <w:rPr>
                <w:sz w:val="15"/>
              </w:rPr>
              <w:t>ECR + CodePipeline, deploy qua staging</w:t>
            </w:r>
          </w:p>
        </w:tc>
      </w:tr>
      <w:tr>
        <w:tc>
          <w:tcPr>
            <w:tcW w:type="dxa" w:w="4968"/>
          </w:tcPr>
          <w:p>
            <w:pPr>
              <w:spacing w:after="20" w:line="250" w:lineRule="auto"/>
            </w:pPr>
            <w:r>
              <w:rPr>
                <w:sz w:val="15"/>
              </w:rPr>
              <w:t>Operations</w:t>
            </w:r>
          </w:p>
        </w:tc>
        <w:tc>
          <w:tcPr>
            <w:tcW w:type="dxa" w:w="4968"/>
          </w:tcPr>
          <w:p>
            <w:pPr>
              <w:spacing w:after="20" w:line="250" w:lineRule="auto"/>
            </w:pPr>
            <w:r>
              <w:rPr>
                <w:sz w:val="15"/>
              </w:rPr>
              <w:t>0,5 FTE vận hành là giả định báo giá, chưa phải staffing đã ký</w:t>
            </w:r>
          </w:p>
        </w:tc>
      </w:tr>
    </w:tbl>
    <w:p>
      <w:pPr>
        <w:spacing w:after="0"/>
      </w:pPr>
    </w:p>
    <w:p>
      <w:r>
        <w:t>Mục tiêu 99,5% availability trong 220 giờ làm việc/tháng tương đương downtime tối đa 66 phút/tháng. Multi-AZ phải xử lý lỗi AZ nhanh hơn RTO 4 giờ; RTO 4h là mục tiêu khôi phục sự cố lớn, không phải thời gian được phép downtime cho mọi lỗi. RPO 1h phải được chứng minh bằng backup/recovery test.</w:t>
      </w:r>
    </w:p>
    <w:p>
      <w:r>
        <w:t>Đề yêu cầu p95 TTFT ≤3 giây cho chat/email/tài liệu trong giờ cao điểm và Agent dự án chạy nền hoàn thành ≤10 phút có notification. Thiết kế có streaming, worker scaling và queue, nhưng CHƯA chứng minh đạt hai ngưỡng này; cần load test với đầy đủ model quota và sandbox startup.</w:t>
      </w:r>
    </w:p>
    <w:p>
      <w:pPr>
        <w:pStyle w:val="Heading1"/>
      </w:pPr>
      <w:r>
        <w:t>9. Đối chiếu H1–H8: giải pháp và cách chứng minh</w:t>
      </w:r>
    </w:p>
    <w:tbl>
      <w:tblPr>
        <w:tblStyle w:val="LightShading-Accent1"/>
        <w:tblW w:type="auto" w:w="0"/>
        <w:tblLayout w:type="fixed"/>
        <w:tblLook w:firstColumn="1" w:firstRow="1" w:lastColumn="0" w:lastRow="0" w:noHBand="0" w:noVBand="1" w:val="04A0"/>
      </w:tblPr>
      <w:tblGrid>
        <w:gridCol w:w="3312"/>
        <w:gridCol w:w="3312"/>
        <w:gridCol w:w="3312"/>
      </w:tblGrid>
      <w:tr>
        <w:tc>
          <w:tcPr>
            <w:tcW w:type="dxa" w:w="3312"/>
            <w:shd w:fill="174861"/>
          </w:tcPr>
          <w:p>
            <w:pPr>
              <w:spacing w:after="20" w:line="250" w:lineRule="auto"/>
            </w:pPr>
            <w:r>
              <w:rPr>
                <w:b/>
                <w:color w:val="FFFFFF"/>
                <w:sz w:val="15"/>
              </w:rPr>
              <w:t>Điều kiện</w:t>
            </w:r>
          </w:p>
        </w:tc>
        <w:tc>
          <w:tcPr>
            <w:tcW w:type="dxa" w:w="3312"/>
            <w:shd w:fill="174861"/>
          </w:tcPr>
          <w:p>
            <w:pPr>
              <w:spacing w:after="20" w:line="250" w:lineRule="auto"/>
            </w:pPr>
            <w:r>
              <w:rPr>
                <w:b/>
                <w:color w:val="FFFFFF"/>
                <w:sz w:val="15"/>
              </w:rPr>
              <w:t>Thiết kế đáp ứng</w:t>
            </w:r>
          </w:p>
        </w:tc>
        <w:tc>
          <w:tcPr>
            <w:tcW w:type="dxa" w:w="3312"/>
            <w:shd w:fill="174861"/>
          </w:tcPr>
          <w:p>
            <w:pPr>
              <w:spacing w:after="20" w:line="250" w:lineRule="auto"/>
            </w:pPr>
            <w:r>
              <w:rPr>
                <w:b/>
                <w:color w:val="FFFFFF"/>
                <w:sz w:val="15"/>
              </w:rPr>
              <w:t>Bằng chứng phải có</w:t>
            </w:r>
          </w:p>
        </w:tc>
      </w:tr>
      <w:tr>
        <w:tc>
          <w:tcPr>
            <w:tcW w:type="dxa" w:w="3312"/>
          </w:tcPr>
          <w:p>
            <w:pPr>
              <w:spacing w:after="20" w:line="250" w:lineRule="auto"/>
            </w:pPr>
            <w:r>
              <w:rPr>
                <w:sz w:val="15"/>
              </w:rPr>
              <w:t>H1 Cloud</w:t>
            </w:r>
          </w:p>
        </w:tc>
        <w:tc>
          <w:tcPr>
            <w:tcW w:type="dxa" w:w="3312"/>
          </w:tcPr>
          <w:p>
            <w:pPr>
              <w:spacing w:after="20" w:line="250" w:lineRule="auto"/>
            </w:pPr>
            <w:r>
              <w:rPr>
                <w:sz w:val="15"/>
              </w:rPr>
              <w:t>AWS Singapore; Bedrock private connection khi hỗ trợ</w:t>
            </w:r>
          </w:p>
        </w:tc>
        <w:tc>
          <w:tcPr>
            <w:tcW w:type="dxa" w:w="3312"/>
          </w:tcPr>
          <w:p>
            <w:pPr>
              <w:spacing w:after="20" w:line="250" w:lineRule="auto"/>
            </w:pPr>
            <w:r>
              <w:rPr>
                <w:sz w:val="15"/>
              </w:rPr>
              <w:t>Region, nguồn xử lý model và chính sách dữ liệu</w:t>
            </w:r>
          </w:p>
        </w:tc>
      </w:tr>
      <w:tr>
        <w:tc>
          <w:tcPr>
            <w:tcW w:type="dxa" w:w="3312"/>
          </w:tcPr>
          <w:p>
            <w:pPr>
              <w:spacing w:after="20" w:line="250" w:lineRule="auto"/>
            </w:pPr>
            <w:r>
              <w:rPr>
                <w:sz w:val="15"/>
              </w:rPr>
              <w:t>H2 Identity</w:t>
            </w:r>
          </w:p>
        </w:tc>
        <w:tc>
          <w:tcPr>
            <w:tcW w:type="dxa" w:w="3312"/>
          </w:tcPr>
          <w:p>
            <w:pPr>
              <w:spacing w:after="20" w:line="250" w:lineRule="auto"/>
            </w:pPr>
            <w:r>
              <w:rPr>
                <w:sz w:val="15"/>
              </w:rPr>
              <w:t>Cognito SSO/MFA, delegated OAuth, ACL, KMS</w:t>
            </w:r>
          </w:p>
        </w:tc>
        <w:tc>
          <w:tcPr>
            <w:tcW w:type="dxa" w:w="3312"/>
          </w:tcPr>
          <w:p>
            <w:pPr>
              <w:spacing w:after="20" w:line="250" w:lineRule="auto"/>
            </w:pPr>
            <w:r>
              <w:rPr>
                <w:sz w:val="15"/>
              </w:rPr>
              <w:t>Test truy cập user A/B và token scope</w:t>
            </w:r>
          </w:p>
        </w:tc>
      </w:tr>
      <w:tr>
        <w:tc>
          <w:tcPr>
            <w:tcW w:type="dxa" w:w="3312"/>
          </w:tcPr>
          <w:p>
            <w:pPr>
              <w:spacing w:after="20" w:line="250" w:lineRule="auto"/>
            </w:pPr>
            <w:r>
              <w:rPr>
                <w:sz w:val="15"/>
              </w:rPr>
              <w:t>H3 Isolation</w:t>
            </w:r>
          </w:p>
        </w:tc>
        <w:tc>
          <w:tcPr>
            <w:tcW w:type="dxa" w:w="3312"/>
          </w:tcPr>
          <w:p>
            <w:pPr>
              <w:spacing w:after="20" w:line="250" w:lineRule="auto"/>
            </w:pPr>
            <w:r>
              <w:rPr>
                <w:sz w:val="15"/>
              </w:rPr>
              <w:t>Private Workspace + Fargate Sandbox, deny egress</w:t>
            </w:r>
          </w:p>
        </w:tc>
        <w:tc>
          <w:tcPr>
            <w:tcW w:type="dxa" w:w="3312"/>
          </w:tcPr>
          <w:p>
            <w:pPr>
              <w:spacing w:after="20" w:line="250" w:lineRule="auto"/>
            </w:pPr>
            <w:r>
              <w:rPr>
                <w:sz w:val="15"/>
              </w:rPr>
              <w:t>Test Sandbox đọc chéo và mạng nội bộ</w:t>
            </w:r>
          </w:p>
        </w:tc>
      </w:tr>
      <w:tr>
        <w:tc>
          <w:tcPr>
            <w:tcW w:type="dxa" w:w="3312"/>
          </w:tcPr>
          <w:p>
            <w:pPr>
              <w:spacing w:after="20" w:line="250" w:lineRule="auto"/>
            </w:pPr>
            <w:r>
              <w:rPr>
                <w:sz w:val="15"/>
              </w:rPr>
              <w:t>H4 AI governance</w:t>
            </w:r>
          </w:p>
        </w:tc>
        <w:tc>
          <w:tcPr>
            <w:tcW w:type="dxa" w:w="3312"/>
          </w:tcPr>
          <w:p>
            <w:pPr>
              <w:spacing w:after="20" w:line="250" w:lineRule="auto"/>
            </w:pPr>
            <w:r>
              <w:rPr>
                <w:sz w:val="15"/>
              </w:rPr>
              <w:t>Input/output guardrail, approval, eval gate</w:t>
            </w:r>
          </w:p>
        </w:tc>
        <w:tc>
          <w:tcPr>
            <w:tcW w:type="dxa" w:w="3312"/>
          </w:tcPr>
          <w:p>
            <w:pPr>
              <w:spacing w:after="20" w:line="250" w:lineRule="auto"/>
            </w:pPr>
            <w:r>
              <w:rPr>
                <w:sz w:val="15"/>
              </w:rPr>
              <w:t>Prompt-injection và negative write tests</w:t>
            </w:r>
          </w:p>
        </w:tc>
      </w:tr>
      <w:tr>
        <w:tc>
          <w:tcPr>
            <w:tcW w:type="dxa" w:w="3312"/>
          </w:tcPr>
          <w:p>
            <w:pPr>
              <w:spacing w:after="20" w:line="250" w:lineRule="auto"/>
            </w:pPr>
            <w:r>
              <w:rPr>
                <w:sz w:val="15"/>
              </w:rPr>
              <w:t>H5 Data governance</w:t>
            </w:r>
          </w:p>
        </w:tc>
        <w:tc>
          <w:tcPr>
            <w:tcW w:type="dxa" w:w="3312"/>
          </w:tcPr>
          <w:p>
            <w:pPr>
              <w:spacing w:after="20" w:line="250" w:lineRule="auto"/>
            </w:pPr>
            <w:r>
              <w:rPr>
                <w:sz w:val="15"/>
              </w:rPr>
              <w:t>Encryption, DLP, audit 12 tháng, retention</w:t>
            </w:r>
          </w:p>
        </w:tc>
        <w:tc>
          <w:tcPr>
            <w:tcW w:type="dxa" w:w="3312"/>
          </w:tcPr>
          <w:p>
            <w:pPr>
              <w:spacing w:after="20" w:line="250" w:lineRule="auto"/>
            </w:pPr>
            <w:r>
              <w:rPr>
                <w:sz w:val="15"/>
              </w:rPr>
              <w:t>Security policy + audit retention check</w:t>
            </w:r>
          </w:p>
        </w:tc>
      </w:tr>
      <w:tr>
        <w:tc>
          <w:tcPr>
            <w:tcW w:type="dxa" w:w="3312"/>
          </w:tcPr>
          <w:p>
            <w:pPr>
              <w:spacing w:after="20" w:line="250" w:lineRule="auto"/>
            </w:pPr>
            <w:r>
              <w:rPr>
                <w:sz w:val="15"/>
              </w:rPr>
              <w:t>H6 Latency</w:t>
            </w:r>
          </w:p>
        </w:tc>
        <w:tc>
          <w:tcPr>
            <w:tcW w:type="dxa" w:w="3312"/>
          </w:tcPr>
          <w:p>
            <w:pPr>
              <w:spacing w:after="20" w:line="250" w:lineRule="auto"/>
            </w:pPr>
            <w:r>
              <w:rPr>
                <w:sz w:val="15"/>
              </w:rPr>
              <w:t>Streaming, background queue, autoscale</w:t>
            </w:r>
          </w:p>
        </w:tc>
        <w:tc>
          <w:tcPr>
            <w:tcW w:type="dxa" w:w="3312"/>
          </w:tcPr>
          <w:p>
            <w:pPr>
              <w:spacing w:after="20" w:line="250" w:lineRule="auto"/>
            </w:pPr>
            <w:r>
              <w:rPr>
                <w:sz w:val="15"/>
              </w:rPr>
              <w:t>Đo p95 TTFT ≤3s, completion ≤10m</w:t>
            </w:r>
          </w:p>
        </w:tc>
      </w:tr>
      <w:tr>
        <w:tc>
          <w:tcPr>
            <w:tcW w:type="dxa" w:w="3312"/>
          </w:tcPr>
          <w:p>
            <w:pPr>
              <w:spacing w:after="20" w:line="250" w:lineRule="auto"/>
            </w:pPr>
            <w:r>
              <w:rPr>
                <w:sz w:val="15"/>
              </w:rPr>
              <w:t>H7 HA / DR</w:t>
            </w:r>
          </w:p>
        </w:tc>
        <w:tc>
          <w:tcPr>
            <w:tcW w:type="dxa" w:w="3312"/>
          </w:tcPr>
          <w:p>
            <w:pPr>
              <w:spacing w:after="20" w:line="250" w:lineRule="auto"/>
            </w:pPr>
            <w:r>
              <w:rPr>
                <w:sz w:val="15"/>
              </w:rPr>
              <w:t>Multi-AZ ALB/API/RDS, backups, drills</w:t>
            </w:r>
          </w:p>
        </w:tc>
        <w:tc>
          <w:tcPr>
            <w:tcW w:type="dxa" w:w="3312"/>
          </w:tcPr>
          <w:p>
            <w:pPr>
              <w:spacing w:after="20" w:line="250" w:lineRule="auto"/>
            </w:pPr>
            <w:r>
              <w:rPr>
                <w:sz w:val="15"/>
              </w:rPr>
              <w:t>Failover, RTO ≤4h, RPO ≤1h, 99,5%</w:t>
            </w:r>
          </w:p>
        </w:tc>
      </w:tr>
      <w:tr>
        <w:tc>
          <w:tcPr>
            <w:tcW w:type="dxa" w:w="3312"/>
          </w:tcPr>
          <w:p>
            <w:pPr>
              <w:spacing w:after="20" w:line="250" w:lineRule="auto"/>
            </w:pPr>
            <w:r>
              <w:rPr>
                <w:sz w:val="15"/>
              </w:rPr>
              <w:t>H8 Quality/Cost</w:t>
            </w:r>
          </w:p>
        </w:tc>
        <w:tc>
          <w:tcPr>
            <w:tcW w:type="dxa" w:w="3312"/>
          </w:tcPr>
          <w:p>
            <w:pPr>
              <w:spacing w:after="20" w:line="250" w:lineRule="auto"/>
            </w:pPr>
            <w:r>
              <w:rPr>
                <w:sz w:val="15"/>
              </w:rPr>
              <w:t>Eval theo 5 cấp, quotas và budget alerts</w:t>
            </w:r>
          </w:p>
        </w:tc>
        <w:tc>
          <w:tcPr>
            <w:tcW w:type="dxa" w:w="3312"/>
          </w:tcPr>
          <w:p>
            <w:pPr>
              <w:spacing w:after="20" w:line="250" w:lineRule="auto"/>
            </w:pPr>
            <w:r>
              <w:rPr>
                <w:sz w:val="15"/>
              </w:rPr>
              <w:t>≥95% reference, cost per team, cut-off</w:t>
            </w:r>
          </w:p>
        </w:tc>
      </w:tr>
    </w:tbl>
    <w:p>
      <w:pPr>
        <w:spacing w:after="0"/>
      </w:pPr>
    </w:p>
    <w:p>
      <w:r>
        <w:t>Bảng này thể hiện thiết kế để đáp ứng, không được hiểu là báo cáo kết quả kiểm thử. Nếu chưa có số liệu đo thì đánh dấu “Cần xác minh” trong slide.</w:t>
      </w:r>
    </w:p>
    <w:p>
      <w:pPr>
        <w:pStyle w:val="Heading1"/>
      </w:pPr>
      <w:r>
        <w:t>10. Báo giá sơ bộ theo component bắt buộc</w:t>
      </w:r>
    </w:p>
    <w:p>
      <w:r>
        <w:t>Bảng dưới là planning estimate USD/tháng chưa VAT, KHÔNG khấu trừ free tier hoặc credit. Các dòng $0 chỉ khi tính năng đã nằm trong dịch vụ khác, phù hợp quy tắc đề bài; các dòng cloud khác phải được thay bằng đơn giá AWS Singapore đúng SKU/region và có link/screenshot bằng chứng.</w:t>
      </w:r>
    </w:p>
    <w:tbl>
      <w:tblPr>
        <w:tblStyle w:val="LightShading-Accent1"/>
        <w:tblW w:type="auto" w:w="0"/>
        <w:tblLayout w:type="fixed"/>
        <w:tblLook w:firstColumn="1" w:firstRow="1" w:lastColumn="0" w:lastRow="0" w:noHBand="0" w:noVBand="1" w:val="04A0"/>
      </w:tblPr>
      <w:tblGrid>
        <w:gridCol w:w="3312"/>
        <w:gridCol w:w="3312"/>
        <w:gridCol w:w="3312"/>
      </w:tblGrid>
      <w:tr>
        <w:tc>
          <w:tcPr>
            <w:tcW w:type="dxa" w:w="3312"/>
            <w:shd w:fill="174861"/>
          </w:tcPr>
          <w:p>
            <w:pPr>
              <w:spacing w:after="20" w:line="250" w:lineRule="auto"/>
            </w:pPr>
            <w:r>
              <w:rPr>
                <w:b/>
                <w:color w:val="FFFFFF"/>
                <w:sz w:val="15"/>
              </w:rPr>
              <w:t>Mã component</w:t>
            </w:r>
          </w:p>
        </w:tc>
        <w:tc>
          <w:tcPr>
            <w:tcW w:type="dxa" w:w="3312"/>
            <w:shd w:fill="174861"/>
          </w:tcPr>
          <w:p>
            <w:pPr>
              <w:spacing w:after="20" w:line="250" w:lineRule="auto"/>
            </w:pPr>
            <w:r>
              <w:rPr>
                <w:b/>
                <w:color w:val="FFFFFF"/>
                <w:sz w:val="15"/>
              </w:rPr>
              <w:t>Dịch vụ / cách tính tạm</w:t>
            </w:r>
          </w:p>
        </w:tc>
        <w:tc>
          <w:tcPr>
            <w:tcW w:type="dxa" w:w="3312"/>
            <w:shd w:fill="174861"/>
          </w:tcPr>
          <w:p>
            <w:pPr>
              <w:spacing w:after="20" w:line="250" w:lineRule="auto"/>
            </w:pPr>
            <w:r>
              <w:rPr>
                <w:b/>
                <w:color w:val="FFFFFF"/>
                <w:sz w:val="15"/>
              </w:rPr>
              <w:t>USD/tháng</w:t>
            </w:r>
          </w:p>
        </w:tc>
      </w:tr>
      <w:tr>
        <w:tc>
          <w:tcPr>
            <w:tcW w:type="dxa" w:w="3312"/>
          </w:tcPr>
          <w:p>
            <w:pPr>
              <w:spacing w:after="20" w:line="250" w:lineRule="auto"/>
            </w:pPr>
            <w:r>
              <w:rPr>
                <w:sz w:val="15"/>
              </w:rPr>
              <w:t>compute</w:t>
            </w:r>
          </w:p>
        </w:tc>
        <w:tc>
          <w:tcPr>
            <w:tcW w:type="dxa" w:w="3312"/>
          </w:tcPr>
          <w:p>
            <w:pPr>
              <w:spacing w:after="20" w:line="250" w:lineRule="auto"/>
            </w:pPr>
            <w:r>
              <w:rPr>
                <w:sz w:val="15"/>
              </w:rPr>
              <w:t>ECS Fargate API/Worker/Staging</w:t>
            </w:r>
          </w:p>
        </w:tc>
        <w:tc>
          <w:tcPr>
            <w:tcW w:type="dxa" w:w="3312"/>
          </w:tcPr>
          <w:p>
            <w:pPr>
              <w:spacing w:after="20" w:line="250" w:lineRule="auto"/>
            </w:pPr>
            <w:r>
              <w:rPr>
                <w:sz w:val="15"/>
              </w:rPr>
              <w:t>170.00</w:t>
            </w:r>
          </w:p>
        </w:tc>
      </w:tr>
      <w:tr>
        <w:tc>
          <w:tcPr>
            <w:tcW w:type="dxa" w:w="3312"/>
          </w:tcPr>
          <w:p>
            <w:pPr>
              <w:spacing w:after="20" w:line="250" w:lineRule="auto"/>
            </w:pPr>
            <w:r>
              <w:rPr>
                <w:sz w:val="15"/>
              </w:rPr>
              <w:t>llm</w:t>
            </w:r>
          </w:p>
        </w:tc>
        <w:tc>
          <w:tcPr>
            <w:tcW w:type="dxa" w:w="3312"/>
          </w:tcPr>
          <w:p>
            <w:pPr>
              <w:spacing w:after="20" w:line="250" w:lineRule="auto"/>
            </w:pPr>
            <w:r>
              <w:rPr>
                <w:sz w:val="15"/>
              </w:rPr>
              <w:t>Claude tokens + 8.800 ảnh (ước tính)</w:t>
            </w:r>
          </w:p>
        </w:tc>
        <w:tc>
          <w:tcPr>
            <w:tcW w:type="dxa" w:w="3312"/>
          </w:tcPr>
          <w:p>
            <w:pPr>
              <w:spacing w:after="20" w:line="250" w:lineRule="auto"/>
            </w:pPr>
            <w:r>
              <w:rPr>
                <w:sz w:val="15"/>
              </w:rPr>
              <w:t>6,135.84</w:t>
            </w:r>
          </w:p>
        </w:tc>
      </w:tr>
      <w:tr>
        <w:tc>
          <w:tcPr>
            <w:tcW w:type="dxa" w:w="3312"/>
          </w:tcPr>
          <w:p>
            <w:pPr>
              <w:spacing w:after="20" w:line="250" w:lineRule="auto"/>
            </w:pPr>
            <w:r>
              <w:rPr>
                <w:sz w:val="15"/>
              </w:rPr>
              <w:t>embedding</w:t>
            </w:r>
          </w:p>
        </w:tc>
        <w:tc>
          <w:tcPr>
            <w:tcW w:type="dxa" w:w="3312"/>
          </w:tcPr>
          <w:p>
            <w:pPr>
              <w:spacing w:after="20" w:line="250" w:lineRule="auto"/>
            </w:pPr>
            <w:r>
              <w:rPr>
                <w:sz w:val="15"/>
              </w:rPr>
              <w:t>Document embedding / update index</w:t>
            </w:r>
          </w:p>
        </w:tc>
        <w:tc>
          <w:tcPr>
            <w:tcW w:type="dxa" w:w="3312"/>
          </w:tcPr>
          <w:p>
            <w:pPr>
              <w:spacing w:after="20" w:line="250" w:lineRule="auto"/>
            </w:pPr>
            <w:r>
              <w:rPr>
                <w:sz w:val="15"/>
              </w:rPr>
              <w:t>15.00</w:t>
            </w:r>
          </w:p>
        </w:tc>
      </w:tr>
      <w:tr>
        <w:tc>
          <w:tcPr>
            <w:tcW w:type="dxa" w:w="3312"/>
          </w:tcPr>
          <w:p>
            <w:pPr>
              <w:spacing w:after="20" w:line="250" w:lineRule="auto"/>
            </w:pPr>
            <w:r>
              <w:rPr>
                <w:sz w:val="15"/>
              </w:rPr>
              <w:t>gateway</w:t>
            </w:r>
          </w:p>
        </w:tc>
        <w:tc>
          <w:tcPr>
            <w:tcW w:type="dxa" w:w="3312"/>
          </w:tcPr>
          <w:p>
            <w:pPr>
              <w:spacing w:after="20" w:line="250" w:lineRule="auto"/>
            </w:pPr>
            <w:r>
              <w:rPr>
                <w:sz w:val="15"/>
              </w:rPr>
              <w:t>LiteLLM/API logic nằm trong compute</w:t>
            </w:r>
          </w:p>
        </w:tc>
        <w:tc>
          <w:tcPr>
            <w:tcW w:type="dxa" w:w="3312"/>
          </w:tcPr>
          <w:p>
            <w:pPr>
              <w:spacing w:after="20" w:line="250" w:lineRule="auto"/>
            </w:pPr>
            <w:r>
              <w:rPr>
                <w:sz w:val="15"/>
              </w:rPr>
              <w:t>0.00</w:t>
            </w:r>
          </w:p>
        </w:tc>
      </w:tr>
      <w:tr>
        <w:tc>
          <w:tcPr>
            <w:tcW w:type="dxa" w:w="3312"/>
          </w:tcPr>
          <w:p>
            <w:pPr>
              <w:spacing w:after="20" w:line="250" w:lineRule="auto"/>
            </w:pPr>
            <w:r>
              <w:rPr>
                <w:sz w:val="15"/>
              </w:rPr>
              <w:t>load_balancer</w:t>
            </w:r>
          </w:p>
        </w:tc>
        <w:tc>
          <w:tcPr>
            <w:tcW w:type="dxa" w:w="3312"/>
          </w:tcPr>
          <w:p>
            <w:pPr>
              <w:spacing w:after="20" w:line="250" w:lineRule="auto"/>
            </w:pPr>
            <w:r>
              <w:rPr>
                <w:sz w:val="15"/>
              </w:rPr>
              <w:t>Application Load Balancer</w:t>
            </w:r>
          </w:p>
        </w:tc>
        <w:tc>
          <w:tcPr>
            <w:tcW w:type="dxa" w:w="3312"/>
          </w:tcPr>
          <w:p>
            <w:pPr>
              <w:spacing w:after="20" w:line="250" w:lineRule="auto"/>
            </w:pPr>
            <w:r>
              <w:rPr>
                <w:sz w:val="15"/>
              </w:rPr>
              <w:t>38.00</w:t>
            </w:r>
          </w:p>
        </w:tc>
      </w:tr>
      <w:tr>
        <w:tc>
          <w:tcPr>
            <w:tcW w:type="dxa" w:w="3312"/>
          </w:tcPr>
          <w:p>
            <w:pPr>
              <w:spacing w:after="20" w:line="250" w:lineRule="auto"/>
            </w:pPr>
            <w:r>
              <w:rPr>
                <w:sz w:val="15"/>
              </w:rPr>
              <w:t>authn</w:t>
            </w:r>
          </w:p>
        </w:tc>
        <w:tc>
          <w:tcPr>
            <w:tcW w:type="dxa" w:w="3312"/>
          </w:tcPr>
          <w:p>
            <w:pPr>
              <w:spacing w:after="20" w:line="250" w:lineRule="auto"/>
            </w:pPr>
            <w:r>
              <w:rPr>
                <w:sz w:val="15"/>
              </w:rPr>
              <w:t>Cognito SSO 2.000 MAU</w:t>
            </w:r>
          </w:p>
        </w:tc>
        <w:tc>
          <w:tcPr>
            <w:tcW w:type="dxa" w:w="3312"/>
          </w:tcPr>
          <w:p>
            <w:pPr>
              <w:spacing w:after="20" w:line="250" w:lineRule="auto"/>
            </w:pPr>
            <w:r>
              <w:rPr>
                <w:sz w:val="15"/>
              </w:rPr>
              <w:t>30.00</w:t>
            </w:r>
          </w:p>
        </w:tc>
      </w:tr>
      <w:tr>
        <w:tc>
          <w:tcPr>
            <w:tcW w:type="dxa" w:w="3312"/>
          </w:tcPr>
          <w:p>
            <w:pPr>
              <w:spacing w:after="20" w:line="250" w:lineRule="auto"/>
            </w:pPr>
            <w:r>
              <w:rPr>
                <w:sz w:val="15"/>
              </w:rPr>
              <w:t>authz</w:t>
            </w:r>
          </w:p>
        </w:tc>
        <w:tc>
          <w:tcPr>
            <w:tcW w:type="dxa" w:w="3312"/>
          </w:tcPr>
          <w:p>
            <w:pPr>
              <w:spacing w:after="20" w:line="250" w:lineRule="auto"/>
            </w:pPr>
            <w:r>
              <w:rPr>
                <w:sz w:val="15"/>
              </w:rPr>
              <w:t>Policy/ACL middleware trong backend</w:t>
            </w:r>
          </w:p>
        </w:tc>
        <w:tc>
          <w:tcPr>
            <w:tcW w:type="dxa" w:w="3312"/>
          </w:tcPr>
          <w:p>
            <w:pPr>
              <w:spacing w:after="20" w:line="250" w:lineRule="auto"/>
            </w:pPr>
            <w:r>
              <w:rPr>
                <w:sz w:val="15"/>
              </w:rPr>
              <w:t>0.00</w:t>
            </w:r>
          </w:p>
        </w:tc>
      </w:tr>
      <w:tr>
        <w:tc>
          <w:tcPr>
            <w:tcW w:type="dxa" w:w="3312"/>
          </w:tcPr>
          <w:p>
            <w:pPr>
              <w:spacing w:after="20" w:line="250" w:lineRule="auto"/>
            </w:pPr>
            <w:r>
              <w:rPr>
                <w:sz w:val="15"/>
              </w:rPr>
              <w:t>database</w:t>
            </w:r>
          </w:p>
        </w:tc>
        <w:tc>
          <w:tcPr>
            <w:tcW w:type="dxa" w:w="3312"/>
          </w:tcPr>
          <w:p>
            <w:pPr>
              <w:spacing w:after="20" w:line="250" w:lineRule="auto"/>
            </w:pPr>
            <w:r>
              <w:rPr>
                <w:sz w:val="15"/>
              </w:rPr>
              <w:t>RDS PostgreSQL Multi-AZ</w:t>
            </w:r>
          </w:p>
        </w:tc>
        <w:tc>
          <w:tcPr>
            <w:tcW w:type="dxa" w:w="3312"/>
          </w:tcPr>
          <w:p>
            <w:pPr>
              <w:spacing w:after="20" w:line="250" w:lineRule="auto"/>
            </w:pPr>
            <w:r>
              <w:rPr>
                <w:sz w:val="15"/>
              </w:rPr>
              <w:t>330.00</w:t>
            </w:r>
          </w:p>
        </w:tc>
      </w:tr>
      <w:tr>
        <w:tc>
          <w:tcPr>
            <w:tcW w:type="dxa" w:w="3312"/>
          </w:tcPr>
          <w:p>
            <w:pPr>
              <w:spacing w:after="20" w:line="250" w:lineRule="auto"/>
            </w:pPr>
            <w:r>
              <w:rPr>
                <w:sz w:val="15"/>
              </w:rPr>
              <w:t>vector_db</w:t>
            </w:r>
          </w:p>
        </w:tc>
        <w:tc>
          <w:tcPr>
            <w:tcW w:type="dxa" w:w="3312"/>
          </w:tcPr>
          <w:p>
            <w:pPr>
              <w:spacing w:after="20" w:line="250" w:lineRule="auto"/>
            </w:pPr>
            <w:r>
              <w:rPr>
                <w:sz w:val="15"/>
              </w:rPr>
              <w:t>pgvector chung với RDS</w:t>
            </w:r>
          </w:p>
        </w:tc>
        <w:tc>
          <w:tcPr>
            <w:tcW w:type="dxa" w:w="3312"/>
          </w:tcPr>
          <w:p>
            <w:pPr>
              <w:spacing w:after="20" w:line="250" w:lineRule="auto"/>
            </w:pPr>
            <w:r>
              <w:rPr>
                <w:sz w:val="15"/>
              </w:rPr>
              <w:t>0.00</w:t>
            </w:r>
          </w:p>
        </w:tc>
      </w:tr>
      <w:tr>
        <w:tc>
          <w:tcPr>
            <w:tcW w:type="dxa" w:w="3312"/>
          </w:tcPr>
          <w:p>
            <w:pPr>
              <w:spacing w:after="20" w:line="250" w:lineRule="auto"/>
            </w:pPr>
            <w:r>
              <w:rPr>
                <w:sz w:val="15"/>
              </w:rPr>
              <w:t>object_storage</w:t>
            </w:r>
          </w:p>
        </w:tc>
        <w:tc>
          <w:tcPr>
            <w:tcW w:type="dxa" w:w="3312"/>
          </w:tcPr>
          <w:p>
            <w:pPr>
              <w:spacing w:after="20" w:line="250" w:lineRule="auto"/>
            </w:pPr>
            <w:r>
              <w:rPr>
                <w:sz w:val="15"/>
              </w:rPr>
              <w:t>Amazon S3 khoảng 3 TB</w:t>
            </w:r>
          </w:p>
        </w:tc>
        <w:tc>
          <w:tcPr>
            <w:tcW w:type="dxa" w:w="3312"/>
          </w:tcPr>
          <w:p>
            <w:pPr>
              <w:spacing w:after="20" w:line="250" w:lineRule="auto"/>
            </w:pPr>
            <w:r>
              <w:rPr>
                <w:sz w:val="15"/>
              </w:rPr>
              <w:t>85.00</w:t>
            </w:r>
          </w:p>
        </w:tc>
      </w:tr>
      <w:tr>
        <w:tc>
          <w:tcPr>
            <w:tcW w:type="dxa" w:w="3312"/>
          </w:tcPr>
          <w:p>
            <w:pPr>
              <w:spacing w:after="20" w:line="250" w:lineRule="auto"/>
            </w:pPr>
            <w:r>
              <w:rPr>
                <w:sz w:val="15"/>
              </w:rPr>
              <w:t>cache_queue</w:t>
            </w:r>
          </w:p>
        </w:tc>
        <w:tc>
          <w:tcPr>
            <w:tcW w:type="dxa" w:w="3312"/>
          </w:tcPr>
          <w:p>
            <w:pPr>
              <w:spacing w:after="20" w:line="250" w:lineRule="auto"/>
            </w:pPr>
            <w:r>
              <w:rPr>
                <w:sz w:val="15"/>
              </w:rPr>
              <w:t>Amazon SQS request charges</w:t>
            </w:r>
          </w:p>
        </w:tc>
        <w:tc>
          <w:tcPr>
            <w:tcW w:type="dxa" w:w="3312"/>
          </w:tcPr>
          <w:p>
            <w:pPr>
              <w:spacing w:after="20" w:line="250" w:lineRule="auto"/>
            </w:pPr>
            <w:r>
              <w:rPr>
                <w:sz w:val="15"/>
              </w:rPr>
              <w:t>2.00</w:t>
            </w:r>
          </w:p>
        </w:tc>
      </w:tr>
      <w:tr>
        <w:tc>
          <w:tcPr>
            <w:tcW w:type="dxa" w:w="3312"/>
          </w:tcPr>
          <w:p>
            <w:pPr>
              <w:spacing w:after="20" w:line="250" w:lineRule="auto"/>
            </w:pPr>
            <w:r>
              <w:rPr>
                <w:sz w:val="15"/>
              </w:rPr>
              <w:t>sandbox</w:t>
            </w:r>
          </w:p>
        </w:tc>
        <w:tc>
          <w:tcPr>
            <w:tcW w:type="dxa" w:w="3312"/>
          </w:tcPr>
          <w:p>
            <w:pPr>
              <w:spacing w:after="20" w:line="250" w:lineRule="auto"/>
            </w:pPr>
            <w:r>
              <w:rPr>
                <w:sz w:val="15"/>
              </w:rPr>
              <w:t>Fargate Sandbox 1.628 giờ</w:t>
            </w:r>
          </w:p>
        </w:tc>
        <w:tc>
          <w:tcPr>
            <w:tcW w:type="dxa" w:w="3312"/>
          </w:tcPr>
          <w:p>
            <w:pPr>
              <w:spacing w:after="20" w:line="250" w:lineRule="auto"/>
            </w:pPr>
            <w:r>
              <w:rPr>
                <w:sz w:val="15"/>
              </w:rPr>
              <w:t>140.00</w:t>
            </w:r>
          </w:p>
        </w:tc>
      </w:tr>
      <w:tr>
        <w:tc>
          <w:tcPr>
            <w:tcW w:type="dxa" w:w="3312"/>
          </w:tcPr>
          <w:p>
            <w:pPr>
              <w:spacing w:after="20" w:line="250" w:lineRule="auto"/>
            </w:pPr>
            <w:r>
              <w:rPr>
                <w:sz w:val="15"/>
              </w:rPr>
              <w:t>connectors</w:t>
            </w:r>
          </w:p>
        </w:tc>
        <w:tc>
          <w:tcPr>
            <w:tcW w:type="dxa" w:w="3312"/>
          </w:tcPr>
          <w:p>
            <w:pPr>
              <w:spacing w:after="20" w:line="250" w:lineRule="auto"/>
            </w:pPr>
            <w:r>
              <w:rPr>
                <w:sz w:val="15"/>
              </w:rPr>
              <w:t>SaaS connector traffic</w:t>
            </w:r>
          </w:p>
        </w:tc>
        <w:tc>
          <w:tcPr>
            <w:tcW w:type="dxa" w:w="3312"/>
          </w:tcPr>
          <w:p>
            <w:pPr>
              <w:spacing w:after="20" w:line="250" w:lineRule="auto"/>
            </w:pPr>
            <w:r>
              <w:rPr>
                <w:sz w:val="15"/>
              </w:rPr>
              <w:t>35.00</w:t>
            </w:r>
          </w:p>
        </w:tc>
      </w:tr>
      <w:tr>
        <w:tc>
          <w:tcPr>
            <w:tcW w:type="dxa" w:w="3312"/>
          </w:tcPr>
          <w:p>
            <w:pPr>
              <w:spacing w:after="20" w:line="250" w:lineRule="auto"/>
            </w:pPr>
            <w:r>
              <w:rPr>
                <w:sz w:val="15"/>
              </w:rPr>
              <w:t>secrets_kms</w:t>
            </w:r>
          </w:p>
        </w:tc>
        <w:tc>
          <w:tcPr>
            <w:tcW w:type="dxa" w:w="3312"/>
          </w:tcPr>
          <w:p>
            <w:pPr>
              <w:spacing w:after="20" w:line="250" w:lineRule="auto"/>
            </w:pPr>
            <w:r>
              <w:rPr>
                <w:sz w:val="15"/>
              </w:rPr>
              <w:t>Secrets Manager + KMS</w:t>
            </w:r>
          </w:p>
        </w:tc>
        <w:tc>
          <w:tcPr>
            <w:tcW w:type="dxa" w:w="3312"/>
          </w:tcPr>
          <w:p>
            <w:pPr>
              <w:spacing w:after="20" w:line="250" w:lineRule="auto"/>
            </w:pPr>
            <w:r>
              <w:rPr>
                <w:sz w:val="15"/>
              </w:rPr>
              <w:t>35.00</w:t>
            </w:r>
          </w:p>
        </w:tc>
      </w:tr>
      <w:tr>
        <w:tc>
          <w:tcPr>
            <w:tcW w:type="dxa" w:w="3312"/>
          </w:tcPr>
          <w:p>
            <w:pPr>
              <w:spacing w:after="20" w:line="250" w:lineRule="auto"/>
            </w:pPr>
            <w:r>
              <w:rPr>
                <w:sz w:val="15"/>
              </w:rPr>
              <w:t>backup_dr</w:t>
            </w:r>
          </w:p>
        </w:tc>
        <w:tc>
          <w:tcPr>
            <w:tcW w:type="dxa" w:w="3312"/>
          </w:tcPr>
          <w:p>
            <w:pPr>
              <w:spacing w:after="20" w:line="250" w:lineRule="auto"/>
            </w:pPr>
            <w:r>
              <w:rPr>
                <w:sz w:val="15"/>
              </w:rPr>
              <w:t>Backup storage/DR tests</w:t>
            </w:r>
          </w:p>
        </w:tc>
        <w:tc>
          <w:tcPr>
            <w:tcW w:type="dxa" w:w="3312"/>
          </w:tcPr>
          <w:p>
            <w:pPr>
              <w:spacing w:after="20" w:line="250" w:lineRule="auto"/>
            </w:pPr>
            <w:r>
              <w:rPr>
                <w:sz w:val="15"/>
              </w:rPr>
              <w:t>65.00</w:t>
            </w:r>
          </w:p>
        </w:tc>
      </w:tr>
      <w:tr>
        <w:tc>
          <w:tcPr>
            <w:tcW w:type="dxa" w:w="3312"/>
          </w:tcPr>
          <w:p>
            <w:pPr>
              <w:spacing w:after="20" w:line="250" w:lineRule="auto"/>
            </w:pPr>
            <w:r>
              <w:rPr>
                <w:sz w:val="15"/>
              </w:rPr>
              <w:t>monitoring</w:t>
            </w:r>
          </w:p>
        </w:tc>
        <w:tc>
          <w:tcPr>
            <w:tcW w:type="dxa" w:w="3312"/>
          </w:tcPr>
          <w:p>
            <w:pPr>
              <w:spacing w:after="20" w:line="250" w:lineRule="auto"/>
            </w:pPr>
            <w:r>
              <w:rPr>
                <w:sz w:val="15"/>
              </w:rPr>
              <w:t>CloudWatch metrics/logs/traces</w:t>
            </w:r>
          </w:p>
        </w:tc>
        <w:tc>
          <w:tcPr>
            <w:tcW w:type="dxa" w:w="3312"/>
          </w:tcPr>
          <w:p>
            <w:pPr>
              <w:spacing w:after="20" w:line="250" w:lineRule="auto"/>
            </w:pPr>
            <w:r>
              <w:rPr>
                <w:sz w:val="15"/>
              </w:rPr>
              <w:t>105.00</w:t>
            </w:r>
          </w:p>
        </w:tc>
      </w:tr>
      <w:tr>
        <w:tc>
          <w:tcPr>
            <w:tcW w:type="dxa" w:w="3312"/>
          </w:tcPr>
          <w:p>
            <w:pPr>
              <w:spacing w:after="20" w:line="250" w:lineRule="auto"/>
            </w:pPr>
            <w:r>
              <w:rPr>
                <w:sz w:val="15"/>
              </w:rPr>
              <w:t>governance</w:t>
            </w:r>
          </w:p>
        </w:tc>
        <w:tc>
          <w:tcPr>
            <w:tcW w:type="dxa" w:w="3312"/>
          </w:tcPr>
          <w:p>
            <w:pPr>
              <w:spacing w:after="20" w:line="250" w:lineRule="auto"/>
            </w:pPr>
            <w:r>
              <w:rPr>
                <w:sz w:val="15"/>
              </w:rPr>
              <w:t>Bedrock Guardrails/DLP/Eval</w:t>
            </w:r>
          </w:p>
        </w:tc>
        <w:tc>
          <w:tcPr>
            <w:tcW w:type="dxa" w:w="3312"/>
          </w:tcPr>
          <w:p>
            <w:pPr>
              <w:spacing w:after="20" w:line="250" w:lineRule="auto"/>
            </w:pPr>
            <w:r>
              <w:rPr>
                <w:sz w:val="15"/>
              </w:rPr>
              <w:t>180.00</w:t>
            </w:r>
          </w:p>
        </w:tc>
      </w:tr>
      <w:tr>
        <w:tc>
          <w:tcPr>
            <w:tcW w:type="dxa" w:w="3312"/>
          </w:tcPr>
          <w:p>
            <w:pPr>
              <w:spacing w:after="20" w:line="250" w:lineRule="auto"/>
            </w:pPr>
            <w:r>
              <w:rPr>
                <w:sz w:val="15"/>
              </w:rPr>
              <w:t>network</w:t>
            </w:r>
          </w:p>
        </w:tc>
        <w:tc>
          <w:tcPr>
            <w:tcW w:type="dxa" w:w="3312"/>
          </w:tcPr>
          <w:p>
            <w:pPr>
              <w:spacing w:after="20" w:line="250" w:lineRule="auto"/>
            </w:pPr>
            <w:r>
              <w:rPr>
                <w:sz w:val="15"/>
              </w:rPr>
              <w:t>NAT, endpoints, WAF, egress</w:t>
            </w:r>
          </w:p>
        </w:tc>
        <w:tc>
          <w:tcPr>
            <w:tcW w:type="dxa" w:w="3312"/>
          </w:tcPr>
          <w:p>
            <w:pPr>
              <w:spacing w:after="20" w:line="250" w:lineRule="auto"/>
            </w:pPr>
            <w:r>
              <w:rPr>
                <w:sz w:val="15"/>
              </w:rPr>
              <w:t>220.00</w:t>
            </w:r>
          </w:p>
        </w:tc>
      </w:tr>
      <w:tr>
        <w:tc>
          <w:tcPr>
            <w:tcW w:type="dxa" w:w="3312"/>
          </w:tcPr>
          <w:p>
            <w:pPr>
              <w:spacing w:after="20" w:line="250" w:lineRule="auto"/>
            </w:pPr>
            <w:r>
              <w:rPr>
                <w:sz w:val="15"/>
              </w:rPr>
              <w:t>cicd</w:t>
            </w:r>
          </w:p>
        </w:tc>
        <w:tc>
          <w:tcPr>
            <w:tcW w:type="dxa" w:w="3312"/>
          </w:tcPr>
          <w:p>
            <w:pPr>
              <w:spacing w:after="20" w:line="250" w:lineRule="auto"/>
            </w:pPr>
            <w:r>
              <w:rPr>
                <w:sz w:val="15"/>
              </w:rPr>
              <w:t>CodePipeline, registry, staging extras</w:t>
            </w:r>
          </w:p>
        </w:tc>
        <w:tc>
          <w:tcPr>
            <w:tcW w:type="dxa" w:w="3312"/>
          </w:tcPr>
          <w:p>
            <w:pPr>
              <w:spacing w:after="20" w:line="250" w:lineRule="auto"/>
            </w:pPr>
            <w:r>
              <w:rPr>
                <w:sz w:val="15"/>
              </w:rPr>
              <w:t>60.00</w:t>
            </w:r>
          </w:p>
        </w:tc>
      </w:tr>
      <w:tr>
        <w:tc>
          <w:tcPr>
            <w:tcW w:type="dxa" w:w="3312"/>
          </w:tcPr>
          <w:p>
            <w:pPr>
              <w:spacing w:after="20" w:line="250" w:lineRule="auto"/>
            </w:pPr>
            <w:r>
              <w:rPr>
                <w:sz w:val="15"/>
              </w:rPr>
              <w:t>ops_labor</w:t>
            </w:r>
          </w:p>
        </w:tc>
        <w:tc>
          <w:tcPr>
            <w:tcW w:type="dxa" w:w="3312"/>
          </w:tcPr>
          <w:p>
            <w:pPr>
              <w:spacing w:after="20" w:line="250" w:lineRule="auto"/>
            </w:pPr>
            <w:r>
              <w:rPr>
                <w:sz w:val="15"/>
              </w:rPr>
              <w:t>0,5 FTE × 3.000 USD/tháng</w:t>
            </w:r>
          </w:p>
        </w:tc>
        <w:tc>
          <w:tcPr>
            <w:tcW w:type="dxa" w:w="3312"/>
          </w:tcPr>
          <w:p>
            <w:pPr>
              <w:spacing w:after="20" w:line="250" w:lineRule="auto"/>
            </w:pPr>
            <w:r>
              <w:rPr>
                <w:sz w:val="15"/>
              </w:rPr>
              <w:t>1,500.00</w:t>
            </w:r>
          </w:p>
        </w:tc>
      </w:tr>
      <w:tr>
        <w:tc>
          <w:tcPr>
            <w:tcW w:type="dxa" w:w="3312"/>
          </w:tcPr>
          <w:p>
            <w:pPr>
              <w:spacing w:after="20" w:line="250" w:lineRule="auto"/>
            </w:pPr>
            <w:r>
              <w:rPr>
                <w:sz w:val="15"/>
              </w:rPr>
              <w:t>TOTAL</w:t>
            </w:r>
          </w:p>
        </w:tc>
        <w:tc>
          <w:tcPr>
            <w:tcW w:type="dxa" w:w="3312"/>
          </w:tcPr>
          <w:p>
            <w:pPr>
              <w:spacing w:after="20" w:line="250" w:lineRule="auto"/>
            </w:pPr>
            <w:r>
              <w:rPr>
                <w:sz w:val="15"/>
              </w:rPr>
              <w:t>Planning estimate, chưa phải báo giá xác nhận</w:t>
            </w:r>
          </w:p>
        </w:tc>
        <w:tc>
          <w:tcPr>
            <w:tcW w:type="dxa" w:w="3312"/>
          </w:tcPr>
          <w:p>
            <w:pPr>
              <w:spacing w:after="20" w:line="250" w:lineRule="auto"/>
            </w:pPr>
            <w:r>
              <w:rPr>
                <w:sz w:val="15"/>
              </w:rPr>
              <w:t>9,145.84</w:t>
            </w:r>
          </w:p>
        </w:tc>
      </w:tr>
    </w:tbl>
    <w:p>
      <w:pPr>
        <w:spacing w:after="0"/>
      </w:pPr>
    </w:p>
    <w:p>
      <w:r>
        <w:t>Tổng ước tính: $9.145,84/tháng; chia 2.000 DAU = $4,57/DAU/tháng. 5 nhóm chi phí lớn nhất là llm, ops_labor, database, network, governance. Workbook đi kèm có sheet BaoGia, Sizing, PriceAssumptions và BangChung để nhóm thay các rate chưa xác minh.</w:t>
      </w:r>
    </w:p>
    <w:p>
      <w:r>
        <w:t>Evidence: mỗi dòng báo giá cần nguồn giá AWS chính thức hoặc screenshot có dịch vụ, SKU, region, đơn giá. Chưa được nộp workbook draft như báo giá cuối. Tổng trên slide phải bằng TOTAL trong XLSX [D].</w:t>
      </w:r>
    </w:p>
    <w:p>
      <w:pPr>
        <w:pStyle w:val="Heading1"/>
      </w:pPr>
      <w:r>
        <w:t>11. Tối ưu chi phí và phân tích thay đổi</w:t>
      </w:r>
    </w:p>
    <w:tbl>
      <w:tblPr>
        <w:tblStyle w:val="LightShading-Accent1"/>
        <w:tblW w:type="auto" w:w="0"/>
        <w:tblLayout w:type="fixed"/>
        <w:tblLook w:firstColumn="1" w:firstRow="1" w:lastColumn="0" w:lastRow="0" w:noHBand="0" w:noVBand="1" w:val="04A0"/>
      </w:tblPr>
      <w:tblGrid>
        <w:gridCol w:w="3312"/>
        <w:gridCol w:w="3312"/>
        <w:gridCol w:w="3312"/>
      </w:tblGrid>
      <w:tr>
        <w:tc>
          <w:tcPr>
            <w:tcW w:type="dxa" w:w="3312"/>
            <w:shd w:fill="174861"/>
          </w:tcPr>
          <w:p>
            <w:pPr>
              <w:spacing w:after="20" w:line="250" w:lineRule="auto"/>
            </w:pPr>
            <w:r>
              <w:rPr>
                <w:b/>
                <w:color w:val="FFFFFF"/>
                <w:sz w:val="15"/>
              </w:rPr>
              <w:t>Đòn bẩy</w:t>
            </w:r>
          </w:p>
        </w:tc>
        <w:tc>
          <w:tcPr>
            <w:tcW w:type="dxa" w:w="3312"/>
            <w:shd w:fill="174861"/>
          </w:tcPr>
          <w:p>
            <w:pPr>
              <w:spacing w:after="20" w:line="250" w:lineRule="auto"/>
            </w:pPr>
            <w:r>
              <w:rPr>
                <w:b/>
                <w:color w:val="FFFFFF"/>
                <w:sz w:val="15"/>
              </w:rPr>
              <w:t>Tiết kiệm độc lập dự kiến</w:t>
            </w:r>
          </w:p>
        </w:tc>
        <w:tc>
          <w:tcPr>
            <w:tcW w:type="dxa" w:w="3312"/>
            <w:shd w:fill="174861"/>
          </w:tcPr>
          <w:p>
            <w:pPr>
              <w:spacing w:after="20" w:line="250" w:lineRule="auto"/>
            </w:pPr>
            <w:r>
              <w:rPr>
                <w:b/>
                <w:color w:val="FFFFFF"/>
                <w:sz w:val="15"/>
              </w:rPr>
              <w:t>Điều kiện</w:t>
            </w:r>
          </w:p>
        </w:tc>
      </w:tr>
      <w:tr>
        <w:tc>
          <w:tcPr>
            <w:tcW w:type="dxa" w:w="3312"/>
          </w:tcPr>
          <w:p>
            <w:pPr>
              <w:spacing w:after="20" w:line="250" w:lineRule="auto"/>
            </w:pPr>
            <w:r>
              <w:rPr>
                <w:sz w:val="15"/>
              </w:rPr>
              <w:t>Giảm 20% input tokens của L4</w:t>
            </w:r>
          </w:p>
        </w:tc>
        <w:tc>
          <w:tcPr>
            <w:tcW w:type="dxa" w:w="3312"/>
          </w:tcPr>
          <w:p>
            <w:pPr>
              <w:spacing w:after="20" w:line="250" w:lineRule="auto"/>
            </w:pPr>
            <w:r>
              <w:rPr>
                <w:sz w:val="15"/>
              </w:rPr>
              <w:t>~$211/tháng</w:t>
            </w:r>
          </w:p>
        </w:tc>
        <w:tc>
          <w:tcPr>
            <w:tcW w:type="dxa" w:w="3312"/>
          </w:tcPr>
          <w:p>
            <w:pPr>
              <w:spacing w:after="20" w:line="250" w:lineRule="auto"/>
            </w:pPr>
            <w:r>
              <w:rPr>
                <w:sz w:val="15"/>
              </w:rPr>
              <w:t>Context ngắn hơn nhưng không giảm task success</w:t>
            </w:r>
          </w:p>
        </w:tc>
      </w:tr>
      <w:tr>
        <w:tc>
          <w:tcPr>
            <w:tcW w:type="dxa" w:w="3312"/>
          </w:tcPr>
          <w:p>
            <w:pPr>
              <w:spacing w:after="20" w:line="250" w:lineRule="auto"/>
            </w:pPr>
            <w:r>
              <w:rPr>
                <w:sz w:val="15"/>
              </w:rPr>
              <w:t>Đưa 20% L3 từ Sonnet sang Haiku</w:t>
            </w:r>
          </w:p>
        </w:tc>
        <w:tc>
          <w:tcPr>
            <w:tcW w:type="dxa" w:w="3312"/>
          </w:tcPr>
          <w:p>
            <w:pPr>
              <w:spacing w:after="20" w:line="250" w:lineRule="auto"/>
            </w:pPr>
            <w:r>
              <w:rPr>
                <w:sz w:val="15"/>
              </w:rPr>
              <w:t>~$191/tháng</w:t>
            </w:r>
          </w:p>
        </w:tc>
        <w:tc>
          <w:tcPr>
            <w:tcW w:type="dxa" w:w="3312"/>
          </w:tcPr>
          <w:p>
            <w:pPr>
              <w:spacing w:after="20" w:line="250" w:lineRule="auto"/>
            </w:pPr>
            <w:r>
              <w:rPr>
                <w:sz w:val="15"/>
              </w:rPr>
              <w:t>Chỉ khi đạt ≥95% reference</w:t>
            </w:r>
          </w:p>
        </w:tc>
      </w:tr>
      <w:tr>
        <w:tc>
          <w:tcPr>
            <w:tcW w:type="dxa" w:w="3312"/>
          </w:tcPr>
          <w:p>
            <w:pPr>
              <w:spacing w:after="20" w:line="250" w:lineRule="auto"/>
            </w:pPr>
            <w:r>
              <w:rPr>
                <w:sz w:val="15"/>
              </w:rPr>
              <w:t>Cache 30% input L4 ở rate thấp hơn 90%</w:t>
            </w:r>
          </w:p>
        </w:tc>
        <w:tc>
          <w:tcPr>
            <w:tcW w:type="dxa" w:w="3312"/>
          </w:tcPr>
          <w:p>
            <w:pPr>
              <w:spacing w:after="20" w:line="250" w:lineRule="auto"/>
            </w:pPr>
            <w:r>
              <w:rPr>
                <w:sz w:val="15"/>
              </w:rPr>
              <w:t>~$285/tháng</w:t>
            </w:r>
          </w:p>
        </w:tc>
        <w:tc>
          <w:tcPr>
            <w:tcW w:type="dxa" w:w="3312"/>
          </w:tcPr>
          <w:p>
            <w:pPr>
              <w:spacing w:after="20" w:line="250" w:lineRule="auto"/>
            </w:pPr>
            <w:r>
              <w:rPr>
                <w:sz w:val="15"/>
              </w:rPr>
              <w:t>Phải đo cache hit, kiểm tra cache tier</w:t>
            </w:r>
          </w:p>
        </w:tc>
      </w:tr>
      <w:tr>
        <w:tc>
          <w:tcPr>
            <w:tcW w:type="dxa" w:w="3312"/>
          </w:tcPr>
          <w:p>
            <w:pPr>
              <w:spacing w:after="20" w:line="250" w:lineRule="auto"/>
            </w:pPr>
            <w:r>
              <w:rPr>
                <w:sz w:val="15"/>
              </w:rPr>
              <w:t>Giảm 20% số ảnh nếu không cần</w:t>
            </w:r>
          </w:p>
        </w:tc>
        <w:tc>
          <w:tcPr>
            <w:tcW w:type="dxa" w:w="3312"/>
          </w:tcPr>
          <w:p>
            <w:pPr>
              <w:spacing w:after="20" w:line="250" w:lineRule="auto"/>
            </w:pPr>
            <w:r>
              <w:rPr>
                <w:sz w:val="15"/>
              </w:rPr>
              <w:t>~$70/tháng</w:t>
            </w:r>
          </w:p>
        </w:tc>
        <w:tc>
          <w:tcPr>
            <w:tcW w:type="dxa" w:w="3312"/>
          </w:tcPr>
          <w:p>
            <w:pPr>
              <w:spacing w:after="20" w:line="250" w:lineRule="auto"/>
            </w:pPr>
            <w:r>
              <w:rPr>
                <w:sz w:val="15"/>
              </w:rPr>
              <w:t>Không cắt nếu user thực sự yêu cầu image</w:t>
            </w:r>
          </w:p>
        </w:tc>
      </w:tr>
    </w:tbl>
    <w:p>
      <w:pPr>
        <w:spacing w:after="0"/>
      </w:pPr>
    </w:p>
    <w:p>
      <w:r>
        <w:t>Không cộng thẳng các mức tiết kiệm: context reduction và cache có thể trùng token. Nếu giá token tăng 30%, tiền text LLM tăng khoảng $1.735/tháng; nếu giá token giảm 50%, tiết kiệm khoảng $2.892/tháng. Với 4.000 DAU, lượng model sử dụng gần gấp đôi còn phần fixed giữ tương đối ổn; dự báo nền khoảng $15,3k/tháng trước khi tăng tài nguyên vì nghẽn.</w:t>
      </w:r>
    </w:p>
    <w:p>
      <w:r>
        <w:t>Cost break-even GPU self-host = GPU + redundancy + serving + nhân lực so với Bedrock API bill tại cùng throughput/quality. Không thể khẳng định GPU rẻ hơn hoặc đắt hơn nếu chưa biết số GPU, giá giờ và tokens/s thực nghiệm.</w:t>
      </w:r>
    </w:p>
    <w:p>
      <w:pPr>
        <w:pStyle w:val="Heading1"/>
      </w:pPr>
      <w:r>
        <w:t>12. Eval Gate, Monitoring và test plan</w:t>
      </w:r>
    </w:p>
    <w:tbl>
      <w:tblPr>
        <w:tblStyle w:val="LightShading-Accent1"/>
        <w:tblW w:type="auto" w:w="0"/>
        <w:tblLayout w:type="fixed"/>
        <w:tblLook w:firstColumn="1" w:firstRow="1" w:lastColumn="0" w:lastRow="0" w:noHBand="0" w:noVBand="1" w:val="04A0"/>
      </w:tblPr>
      <w:tblGrid>
        <w:gridCol w:w="3312"/>
        <w:gridCol w:w="3312"/>
        <w:gridCol w:w="3312"/>
      </w:tblGrid>
      <w:tr>
        <w:tc>
          <w:tcPr>
            <w:tcW w:type="dxa" w:w="3312"/>
            <w:shd w:fill="174861"/>
          </w:tcPr>
          <w:p>
            <w:pPr>
              <w:spacing w:after="20" w:line="250" w:lineRule="auto"/>
            </w:pPr>
            <w:r>
              <w:rPr>
                <w:b/>
                <w:color w:val="FFFFFF"/>
                <w:sz w:val="15"/>
              </w:rPr>
              <w:t>Cấp</w:t>
            </w:r>
          </w:p>
        </w:tc>
        <w:tc>
          <w:tcPr>
            <w:tcW w:type="dxa" w:w="3312"/>
            <w:shd w:fill="174861"/>
          </w:tcPr>
          <w:p>
            <w:pPr>
              <w:spacing w:after="20" w:line="250" w:lineRule="auto"/>
            </w:pPr>
            <w:r>
              <w:rPr>
                <w:b/>
                <w:color w:val="FFFFFF"/>
                <w:sz w:val="15"/>
              </w:rPr>
              <w:t>Golden set đề xuất</w:t>
            </w:r>
          </w:p>
        </w:tc>
        <w:tc>
          <w:tcPr>
            <w:tcW w:type="dxa" w:w="3312"/>
            <w:shd w:fill="174861"/>
          </w:tcPr>
          <w:p>
            <w:pPr>
              <w:spacing w:after="20" w:line="250" w:lineRule="auto"/>
            </w:pPr>
            <w:r>
              <w:rPr>
                <w:b/>
                <w:color w:val="FFFFFF"/>
                <w:sz w:val="15"/>
              </w:rPr>
              <w:t>Metric bắt buộc</w:t>
            </w:r>
          </w:p>
        </w:tc>
      </w:tr>
      <w:tr>
        <w:tc>
          <w:tcPr>
            <w:tcW w:type="dxa" w:w="3312"/>
          </w:tcPr>
          <w:p>
            <w:pPr>
              <w:spacing w:after="20" w:line="250" w:lineRule="auto"/>
            </w:pPr>
            <w:r>
              <w:rPr>
                <w:sz w:val="15"/>
              </w:rPr>
              <w:t>L1</w:t>
            </w:r>
          </w:p>
        </w:tc>
        <w:tc>
          <w:tcPr>
            <w:tcW w:type="dxa" w:w="3312"/>
          </w:tcPr>
          <w:p>
            <w:pPr>
              <w:spacing w:after="20" w:line="250" w:lineRule="auto"/>
            </w:pPr>
            <w:r>
              <w:rPr>
                <w:sz w:val="15"/>
              </w:rPr>
              <w:t>100 email + Q&amp;A có ACL</w:t>
            </w:r>
          </w:p>
        </w:tc>
        <w:tc>
          <w:tcPr>
            <w:tcW w:type="dxa" w:w="3312"/>
          </w:tcPr>
          <w:p>
            <w:pPr>
              <w:spacing w:after="20" w:line="250" w:lineRule="auto"/>
            </w:pPr>
            <w:r>
              <w:rPr>
                <w:sz w:val="15"/>
              </w:rPr>
              <w:t>Correctness, citation, safe reply</w:t>
            </w:r>
          </w:p>
        </w:tc>
      </w:tr>
      <w:tr>
        <w:tc>
          <w:tcPr>
            <w:tcW w:type="dxa" w:w="3312"/>
          </w:tcPr>
          <w:p>
            <w:pPr>
              <w:spacing w:after="20" w:line="250" w:lineRule="auto"/>
            </w:pPr>
            <w:r>
              <w:rPr>
                <w:sz w:val="15"/>
              </w:rPr>
              <w:t>L2</w:t>
            </w:r>
          </w:p>
        </w:tc>
        <w:tc>
          <w:tcPr>
            <w:tcW w:type="dxa" w:w="3312"/>
          </w:tcPr>
          <w:p>
            <w:pPr>
              <w:spacing w:after="20" w:line="250" w:lineRule="auto"/>
            </w:pPr>
            <w:r>
              <w:rPr>
                <w:sz w:val="15"/>
              </w:rPr>
              <w:t>50 DOCX/XLSX/PPTX</w:t>
            </w:r>
          </w:p>
        </w:tc>
        <w:tc>
          <w:tcPr>
            <w:tcW w:type="dxa" w:w="3312"/>
          </w:tcPr>
          <w:p>
            <w:pPr>
              <w:spacing w:after="20" w:line="250" w:lineRule="auto"/>
            </w:pPr>
            <w:r>
              <w:rPr>
                <w:sz w:val="15"/>
              </w:rPr>
              <w:t>File mở được, đầy đủ, layout không lỗi</w:t>
            </w:r>
          </w:p>
        </w:tc>
      </w:tr>
      <w:tr>
        <w:tc>
          <w:tcPr>
            <w:tcW w:type="dxa" w:w="3312"/>
          </w:tcPr>
          <w:p>
            <w:pPr>
              <w:spacing w:after="20" w:line="250" w:lineRule="auto"/>
            </w:pPr>
            <w:r>
              <w:rPr>
                <w:sz w:val="15"/>
              </w:rPr>
              <w:t>L3</w:t>
            </w:r>
          </w:p>
        </w:tc>
        <w:tc>
          <w:tcPr>
            <w:tcW w:type="dxa" w:w="3312"/>
          </w:tcPr>
          <w:p>
            <w:pPr>
              <w:spacing w:after="20" w:line="250" w:lineRule="auto"/>
            </w:pPr>
            <w:r>
              <w:rPr>
                <w:sz w:val="15"/>
              </w:rPr>
              <w:t>50 Python/data/code tasks</w:t>
            </w:r>
          </w:p>
        </w:tc>
        <w:tc>
          <w:tcPr>
            <w:tcW w:type="dxa" w:w="3312"/>
          </w:tcPr>
          <w:p>
            <w:pPr>
              <w:spacing w:after="20" w:line="250" w:lineRule="auto"/>
            </w:pPr>
            <w:r>
              <w:rPr>
                <w:sz w:val="15"/>
              </w:rPr>
              <w:t>Test pass + sandbox isolation</w:t>
            </w:r>
          </w:p>
        </w:tc>
      </w:tr>
      <w:tr>
        <w:tc>
          <w:tcPr>
            <w:tcW w:type="dxa" w:w="3312"/>
          </w:tcPr>
          <w:p>
            <w:pPr>
              <w:spacing w:after="20" w:line="250" w:lineRule="auto"/>
            </w:pPr>
            <w:r>
              <w:rPr>
                <w:sz w:val="15"/>
              </w:rPr>
              <w:t>L4</w:t>
            </w:r>
          </w:p>
        </w:tc>
        <w:tc>
          <w:tcPr>
            <w:tcW w:type="dxa" w:w="3312"/>
          </w:tcPr>
          <w:p>
            <w:pPr>
              <w:spacing w:after="20" w:line="250" w:lineRule="auto"/>
            </w:pPr>
            <w:r>
              <w:rPr>
                <w:sz w:val="15"/>
              </w:rPr>
              <w:t>30 multi-step Jira/Confluence tasks</w:t>
            </w:r>
          </w:p>
        </w:tc>
        <w:tc>
          <w:tcPr>
            <w:tcW w:type="dxa" w:w="3312"/>
          </w:tcPr>
          <w:p>
            <w:pPr>
              <w:spacing w:after="20" w:line="250" w:lineRule="auto"/>
            </w:pPr>
            <w:r>
              <w:rPr>
                <w:sz w:val="15"/>
              </w:rPr>
              <w:t>Task success, approval, completion ≤10m</w:t>
            </w:r>
          </w:p>
        </w:tc>
      </w:tr>
      <w:tr>
        <w:tc>
          <w:tcPr>
            <w:tcW w:type="dxa" w:w="3312"/>
          </w:tcPr>
          <w:p>
            <w:pPr>
              <w:spacing w:after="20" w:line="250" w:lineRule="auto"/>
            </w:pPr>
            <w:r>
              <w:rPr>
                <w:sz w:val="15"/>
              </w:rPr>
              <w:t>L5</w:t>
            </w:r>
          </w:p>
        </w:tc>
        <w:tc>
          <w:tcPr>
            <w:tcW w:type="dxa" w:w="3312"/>
          </w:tcPr>
          <w:p>
            <w:pPr>
              <w:spacing w:after="20" w:line="250" w:lineRule="auto"/>
            </w:pPr>
            <w:r>
              <w:rPr>
                <w:sz w:val="15"/>
              </w:rPr>
              <w:t>30 prompt thiết kế</w:t>
            </w:r>
          </w:p>
        </w:tc>
        <w:tc>
          <w:tcPr>
            <w:tcW w:type="dxa" w:w="3312"/>
          </w:tcPr>
          <w:p>
            <w:pPr>
              <w:spacing w:after="20" w:line="250" w:lineRule="auto"/>
            </w:pPr>
            <w:r>
              <w:rPr>
                <w:sz w:val="15"/>
              </w:rPr>
              <w:t>Visual rubric, file validity, requirement coverage</w:t>
            </w:r>
          </w:p>
        </w:tc>
      </w:tr>
    </w:tbl>
    <w:p>
      <w:pPr>
        <w:spacing w:after="0"/>
      </w:pPr>
    </w:p>
    <w:p>
      <w:r>
        <w:t>Mỗi cấp phải đạt ít nhất 95% điểm so với reference model có tên (đề xuất Sonnet 4.6 cho các tác vụ text; riêng image dùng visual reference/human rubric). Khi model/prompt thay đổi: chạy regression suite, test prompt injection, đánh giá chất lượng và chi phí; fail thì rollback. Theo dõi p95 TTFT, queue age, tokens/user, sandbox count, model errors và monthly budget.</w:t>
      </w:r>
    </w:p>
    <w:p>
      <w:pPr>
        <w:pStyle w:val="Heading1"/>
      </w:pPr>
      <w:r>
        <w:t>13. So sánh các quyết định technology</w:t>
      </w:r>
    </w:p>
    <w:tbl>
      <w:tblPr>
        <w:tblStyle w:val="LightShading-Accent1"/>
        <w:tblW w:type="auto" w:w="0"/>
        <w:tblLayout w:type="fixed"/>
        <w:tblLook w:firstColumn="1" w:firstRow="1" w:lastColumn="0" w:lastRow="0" w:noHBand="0" w:noVBand="1" w:val="04A0"/>
      </w:tblPr>
      <w:tblGrid>
        <w:gridCol w:w="3312"/>
        <w:gridCol w:w="3312"/>
        <w:gridCol w:w="3312"/>
      </w:tblGrid>
      <w:tr>
        <w:tc>
          <w:tcPr>
            <w:tcW w:type="dxa" w:w="3312"/>
            <w:shd w:fill="174861"/>
          </w:tcPr>
          <w:p>
            <w:pPr>
              <w:spacing w:after="20" w:line="250" w:lineRule="auto"/>
            </w:pPr>
            <w:r>
              <w:rPr>
                <w:b/>
                <w:color w:val="FFFFFF"/>
                <w:sz w:val="15"/>
              </w:rPr>
              <w:t>Quyết định</w:t>
            </w:r>
          </w:p>
        </w:tc>
        <w:tc>
          <w:tcPr>
            <w:tcW w:type="dxa" w:w="3312"/>
            <w:shd w:fill="174861"/>
          </w:tcPr>
          <w:p>
            <w:pPr>
              <w:spacing w:after="20" w:line="250" w:lineRule="auto"/>
            </w:pPr>
            <w:r>
              <w:rPr>
                <w:b/>
                <w:color w:val="FFFFFF"/>
                <w:sz w:val="15"/>
              </w:rPr>
              <w:t>Lựa chọn chốt</w:t>
            </w:r>
          </w:p>
        </w:tc>
        <w:tc>
          <w:tcPr>
            <w:tcW w:type="dxa" w:w="3312"/>
            <w:shd w:fill="174861"/>
          </w:tcPr>
          <w:p>
            <w:pPr>
              <w:spacing w:after="20" w:line="250" w:lineRule="auto"/>
            </w:pPr>
            <w:r>
              <w:rPr>
                <w:b/>
                <w:color w:val="FFFFFF"/>
                <w:sz w:val="15"/>
              </w:rPr>
              <w:t>Alternative / trade-off</w:t>
            </w:r>
          </w:p>
        </w:tc>
      </w:tr>
      <w:tr>
        <w:tc>
          <w:tcPr>
            <w:tcW w:type="dxa" w:w="3312"/>
          </w:tcPr>
          <w:p>
            <w:pPr>
              <w:spacing w:after="20" w:line="250" w:lineRule="auto"/>
            </w:pPr>
            <w:r>
              <w:rPr>
                <w:sz w:val="15"/>
              </w:rPr>
              <w:t>Agent</w:t>
            </w:r>
          </w:p>
        </w:tc>
        <w:tc>
          <w:tcPr>
            <w:tcW w:type="dxa" w:w="3312"/>
          </w:tcPr>
          <w:p>
            <w:pPr>
              <w:spacing w:after="20" w:line="250" w:lineRule="auto"/>
            </w:pPr>
            <w:r>
              <w:rPr>
                <w:sz w:val="15"/>
              </w:rPr>
              <w:t>Single LangGraph Agent</w:t>
            </w:r>
          </w:p>
        </w:tc>
        <w:tc>
          <w:tcPr>
            <w:tcW w:type="dxa" w:w="3312"/>
          </w:tcPr>
          <w:p>
            <w:pPr>
              <w:spacing w:after="20" w:line="250" w:lineRule="auto"/>
            </w:pPr>
            <w:r>
              <w:rPr>
                <w:sz w:val="15"/>
              </w:rPr>
              <w:t>Multi-agent tăng coordination, chưa có yêu cầu đo</w:t>
            </w:r>
          </w:p>
        </w:tc>
      </w:tr>
      <w:tr>
        <w:tc>
          <w:tcPr>
            <w:tcW w:type="dxa" w:w="3312"/>
          </w:tcPr>
          <w:p>
            <w:pPr>
              <w:spacing w:after="20" w:line="250" w:lineRule="auto"/>
            </w:pPr>
            <w:r>
              <w:rPr>
                <w:sz w:val="15"/>
              </w:rPr>
              <w:t>LLM serving</w:t>
            </w:r>
          </w:p>
        </w:tc>
        <w:tc>
          <w:tcPr>
            <w:tcW w:type="dxa" w:w="3312"/>
          </w:tcPr>
          <w:p>
            <w:pPr>
              <w:spacing w:after="20" w:line="250" w:lineRule="auto"/>
            </w:pPr>
            <w:r>
              <w:rPr>
                <w:sz w:val="15"/>
              </w:rPr>
              <w:t>Bedrock API</w:t>
            </w:r>
          </w:p>
        </w:tc>
        <w:tc>
          <w:tcPr>
            <w:tcW w:type="dxa" w:w="3312"/>
          </w:tcPr>
          <w:p>
            <w:pPr>
              <w:spacing w:after="20" w:line="250" w:lineRule="auto"/>
            </w:pPr>
            <w:r>
              <w:rPr>
                <w:sz w:val="15"/>
              </w:rPr>
              <w:t>GPU self-host cần throughput ổn định + vận hành</w:t>
            </w:r>
          </w:p>
        </w:tc>
      </w:tr>
      <w:tr>
        <w:tc>
          <w:tcPr>
            <w:tcW w:type="dxa" w:w="3312"/>
          </w:tcPr>
          <w:p>
            <w:pPr>
              <w:spacing w:after="20" w:line="250" w:lineRule="auto"/>
            </w:pPr>
            <w:r>
              <w:rPr>
                <w:sz w:val="15"/>
              </w:rPr>
              <w:t>Compute</w:t>
            </w:r>
          </w:p>
        </w:tc>
        <w:tc>
          <w:tcPr>
            <w:tcW w:type="dxa" w:w="3312"/>
          </w:tcPr>
          <w:p>
            <w:pPr>
              <w:spacing w:after="20" w:line="250" w:lineRule="auto"/>
            </w:pPr>
            <w:r>
              <w:rPr>
                <w:sz w:val="15"/>
              </w:rPr>
              <w:t>ECS Fargate</w:t>
            </w:r>
          </w:p>
        </w:tc>
        <w:tc>
          <w:tcPr>
            <w:tcW w:type="dxa" w:w="3312"/>
          </w:tcPr>
          <w:p>
            <w:pPr>
              <w:spacing w:after="20" w:line="250" w:lineRule="auto"/>
            </w:pPr>
            <w:r>
              <w:rPr>
                <w:sz w:val="15"/>
              </w:rPr>
              <w:t>Kubernetes/EKS phức tạp và tốn quản lý hơn</w:t>
            </w:r>
          </w:p>
        </w:tc>
      </w:tr>
      <w:tr>
        <w:tc>
          <w:tcPr>
            <w:tcW w:type="dxa" w:w="3312"/>
          </w:tcPr>
          <w:p>
            <w:pPr>
              <w:spacing w:after="20" w:line="250" w:lineRule="auto"/>
            </w:pPr>
            <w:r>
              <w:rPr>
                <w:sz w:val="15"/>
              </w:rPr>
              <w:t>DB / Vector</w:t>
            </w:r>
          </w:p>
        </w:tc>
        <w:tc>
          <w:tcPr>
            <w:tcW w:type="dxa" w:w="3312"/>
          </w:tcPr>
          <w:p>
            <w:pPr>
              <w:spacing w:after="20" w:line="250" w:lineRule="auto"/>
            </w:pPr>
            <w:r>
              <w:rPr>
                <w:sz w:val="15"/>
              </w:rPr>
              <w:t>RDS PostgreSQL + pgvector</w:t>
            </w:r>
          </w:p>
        </w:tc>
        <w:tc>
          <w:tcPr>
            <w:tcW w:type="dxa" w:w="3312"/>
          </w:tcPr>
          <w:p>
            <w:pPr>
              <w:spacing w:after="20" w:line="250" w:lineRule="auto"/>
            </w:pPr>
            <w:r>
              <w:rPr>
                <w:sz w:val="15"/>
              </w:rPr>
              <w:t>Vector DB riêng tăng chi phí ban đầu</w:t>
            </w:r>
          </w:p>
        </w:tc>
      </w:tr>
      <w:tr>
        <w:tc>
          <w:tcPr>
            <w:tcW w:type="dxa" w:w="3312"/>
          </w:tcPr>
          <w:p>
            <w:pPr>
              <w:spacing w:after="20" w:line="250" w:lineRule="auto"/>
            </w:pPr>
            <w:r>
              <w:rPr>
                <w:sz w:val="15"/>
              </w:rPr>
              <w:t>Task Queue</w:t>
            </w:r>
          </w:p>
        </w:tc>
        <w:tc>
          <w:tcPr>
            <w:tcW w:type="dxa" w:w="3312"/>
          </w:tcPr>
          <w:p>
            <w:pPr>
              <w:spacing w:after="20" w:line="250" w:lineRule="auto"/>
            </w:pPr>
            <w:r>
              <w:rPr>
                <w:sz w:val="15"/>
              </w:rPr>
              <w:t>SQS + Worker</w:t>
            </w:r>
          </w:p>
        </w:tc>
        <w:tc>
          <w:tcPr>
            <w:tcW w:type="dxa" w:w="3312"/>
          </w:tcPr>
          <w:p>
            <w:pPr>
              <w:spacing w:after="20" w:line="250" w:lineRule="auto"/>
            </w:pPr>
            <w:r>
              <w:rPr>
                <w:sz w:val="15"/>
              </w:rPr>
              <w:t>Chưa cần Temporal</w:t>
            </w:r>
          </w:p>
        </w:tc>
      </w:tr>
      <w:tr>
        <w:tc>
          <w:tcPr>
            <w:tcW w:type="dxa" w:w="3312"/>
          </w:tcPr>
          <w:p>
            <w:pPr>
              <w:spacing w:after="20" w:line="250" w:lineRule="auto"/>
            </w:pPr>
            <w:r>
              <w:rPr>
                <w:sz w:val="15"/>
              </w:rPr>
              <w:t>Sandbox</w:t>
            </w:r>
          </w:p>
        </w:tc>
        <w:tc>
          <w:tcPr>
            <w:tcW w:type="dxa" w:w="3312"/>
          </w:tcPr>
          <w:p>
            <w:pPr>
              <w:spacing w:after="20" w:line="250" w:lineRule="auto"/>
            </w:pPr>
            <w:r>
              <w:rPr>
                <w:sz w:val="15"/>
              </w:rPr>
              <w:t>Fargate task theo lần chạy</w:t>
            </w:r>
          </w:p>
        </w:tc>
        <w:tc>
          <w:tcPr>
            <w:tcW w:type="dxa" w:w="3312"/>
          </w:tcPr>
          <w:p>
            <w:pPr>
              <w:spacing w:after="20" w:line="250" w:lineRule="auto"/>
            </w:pPr>
            <w:r>
              <w:rPr>
                <w:sz w:val="15"/>
              </w:rPr>
              <w:t>VM luôn bật theo user lãng phí khi idle</w:t>
            </w:r>
          </w:p>
        </w:tc>
      </w:tr>
      <w:tr>
        <w:tc>
          <w:tcPr>
            <w:tcW w:type="dxa" w:w="3312"/>
          </w:tcPr>
          <w:p>
            <w:pPr>
              <w:spacing w:after="20" w:line="250" w:lineRule="auto"/>
            </w:pPr>
            <w:r>
              <w:rPr>
                <w:sz w:val="15"/>
              </w:rPr>
              <w:t>Storage</w:t>
            </w:r>
          </w:p>
        </w:tc>
        <w:tc>
          <w:tcPr>
            <w:tcW w:type="dxa" w:w="3312"/>
          </w:tcPr>
          <w:p>
            <w:pPr>
              <w:spacing w:after="20" w:line="250" w:lineRule="auto"/>
            </w:pPr>
            <w:r>
              <w:rPr>
                <w:sz w:val="15"/>
              </w:rPr>
              <w:t>S3 + quota trong backend</w:t>
            </w:r>
          </w:p>
        </w:tc>
        <w:tc>
          <w:tcPr>
            <w:tcW w:type="dxa" w:w="3312"/>
          </w:tcPr>
          <w:p>
            <w:pPr>
              <w:spacing w:after="20" w:line="250" w:lineRule="auto"/>
            </w:pPr>
            <w:r>
              <w:rPr>
                <w:sz w:val="15"/>
              </w:rPr>
              <w:t>Không cho Sandbox trực tiếp dùng credential</w:t>
            </w:r>
          </w:p>
        </w:tc>
      </w:tr>
    </w:tbl>
    <w:p>
      <w:pPr>
        <w:spacing w:after="0"/>
      </w:pPr>
    </w:p>
    <w:p>
      <w:pPr>
        <w:pStyle w:val="Heading1"/>
      </w:pPr>
      <w:r>
        <w:t>14. Trả lời các câu hỏi hội đồng có thể hỏi</w:t>
      </w:r>
    </w:p>
    <w:tbl>
      <w:tblPr>
        <w:tblStyle w:val="LightShading-Accent1"/>
        <w:tblW w:type="auto" w:w="0"/>
        <w:tblLayout w:type="fixed"/>
        <w:tblLook w:firstColumn="1" w:firstRow="1" w:lastColumn="0" w:lastRow="0" w:noHBand="0" w:noVBand="1" w:val="04A0"/>
      </w:tblPr>
      <w:tblGrid>
        <w:gridCol w:w="4968"/>
        <w:gridCol w:w="4968"/>
      </w:tblGrid>
      <w:tr>
        <w:tc>
          <w:tcPr>
            <w:tcW w:type="dxa" w:w="4968"/>
            <w:shd w:fill="174861"/>
          </w:tcPr>
          <w:p>
            <w:pPr>
              <w:spacing w:after="20" w:line="250" w:lineRule="auto"/>
            </w:pPr>
            <w:r>
              <w:rPr>
                <w:b/>
                <w:color w:val="FFFFFF"/>
                <w:sz w:val="15"/>
              </w:rPr>
              <w:t>Câu hỏi</w:t>
            </w:r>
          </w:p>
        </w:tc>
        <w:tc>
          <w:tcPr>
            <w:tcW w:type="dxa" w:w="4968"/>
            <w:shd w:fill="174861"/>
          </w:tcPr>
          <w:p>
            <w:pPr>
              <w:spacing w:after="20" w:line="250" w:lineRule="auto"/>
            </w:pPr>
            <w:r>
              <w:rPr>
                <w:b/>
                <w:color w:val="FFFFFF"/>
                <w:sz w:val="15"/>
              </w:rPr>
              <w:t>Câu trả lời ngắn có thể bảo vệ</w:t>
            </w:r>
          </w:p>
        </w:tc>
      </w:tr>
      <w:tr>
        <w:tc>
          <w:tcPr>
            <w:tcW w:type="dxa" w:w="4968"/>
          </w:tcPr>
          <w:p>
            <w:pPr>
              <w:spacing w:after="20" w:line="250" w:lineRule="auto"/>
            </w:pPr>
            <w:r>
              <w:rPr>
                <w:sz w:val="15"/>
              </w:rPr>
              <w:t>A đọc file B?</w:t>
            </w:r>
          </w:p>
        </w:tc>
        <w:tc>
          <w:tcPr>
            <w:tcW w:type="dxa" w:w="4968"/>
          </w:tcPr>
          <w:p>
            <w:pPr>
              <w:spacing w:after="20" w:line="250" w:lineRule="auto"/>
            </w:pPr>
            <w:r>
              <w:rPr>
                <w:sz w:val="15"/>
              </w:rPr>
              <w:t>Không nếu policy chặn ở Workspace, Search, Connector và Sandbox input; có test chéo user chứng minh.</w:t>
            </w:r>
          </w:p>
        </w:tc>
      </w:tr>
      <w:tr>
        <w:tc>
          <w:tcPr>
            <w:tcW w:type="dxa" w:w="4968"/>
          </w:tcPr>
          <w:p>
            <w:pPr>
              <w:spacing w:after="20" w:line="250" w:lineRule="auto"/>
            </w:pPr>
            <w:r>
              <w:rPr>
                <w:sz w:val="15"/>
              </w:rPr>
              <w:t>Email cài lệnh gửi hợp đồng?</w:t>
            </w:r>
          </w:p>
        </w:tc>
        <w:tc>
          <w:tcPr>
            <w:tcW w:type="dxa" w:w="4968"/>
          </w:tcPr>
          <w:p>
            <w:pPr>
              <w:spacing w:after="20" w:line="250" w:lineRule="auto"/>
            </w:pPr>
            <w:r>
              <w:rPr>
                <w:sz w:val="15"/>
              </w:rPr>
              <w:t>Nội dung email là untrusted input; tool send phải qua policy, user approval và DLP.</w:t>
            </w:r>
          </w:p>
        </w:tc>
      </w:tr>
      <w:tr>
        <w:tc>
          <w:tcPr>
            <w:tcW w:type="dxa" w:w="4968"/>
          </w:tcPr>
          <w:p>
            <w:pPr>
              <w:spacing w:after="20" w:line="250" w:lineRule="auto"/>
            </w:pPr>
            <w:r>
              <w:rPr>
                <w:sz w:val="15"/>
              </w:rPr>
              <w:t>Code trong Sandbox tấn công node?</w:t>
            </w:r>
          </w:p>
        </w:tc>
        <w:tc>
          <w:tcPr>
            <w:tcW w:type="dxa" w:w="4968"/>
          </w:tcPr>
          <w:p>
            <w:pPr>
              <w:spacing w:after="20" w:line="250" w:lineRule="auto"/>
            </w:pPr>
            <w:r>
              <w:rPr>
                <w:sz w:val="15"/>
              </w:rPr>
              <w:t>Fargate isolation, no public IP, default-deny network, IAM tối thiểu; chạy test metadata/internal IP.</w:t>
            </w:r>
          </w:p>
        </w:tc>
      </w:tr>
      <w:tr>
        <w:tc>
          <w:tcPr>
            <w:tcW w:type="dxa" w:w="4968"/>
          </w:tcPr>
          <w:p>
            <w:pPr>
              <w:spacing w:after="20" w:line="250" w:lineRule="auto"/>
            </w:pPr>
            <w:r>
              <w:rPr>
                <w:sz w:val="15"/>
              </w:rPr>
              <w:t>Một AZ mất điện lúc 10h?</w:t>
            </w:r>
          </w:p>
        </w:tc>
        <w:tc>
          <w:tcPr>
            <w:tcW w:type="dxa" w:w="4968"/>
          </w:tcPr>
          <w:p>
            <w:pPr>
              <w:spacing w:after="20" w:line="250" w:lineRule="auto"/>
            </w:pPr>
            <w:r>
              <w:rPr>
                <w:sz w:val="15"/>
              </w:rPr>
              <w:t>ALB chuyển sang API AZ còn lại; RDS Multi-AZ failover; SQS còn task. Đo thời gian thực.</w:t>
            </w:r>
          </w:p>
        </w:tc>
      </w:tr>
      <w:tr>
        <w:tc>
          <w:tcPr>
            <w:tcW w:type="dxa" w:w="4968"/>
          </w:tcPr>
          <w:p>
            <w:pPr>
              <w:spacing w:after="20" w:line="250" w:lineRule="auto"/>
            </w:pPr>
            <w:r>
              <w:rPr>
                <w:sz w:val="15"/>
              </w:rPr>
              <w:t>DAU tăng lên 4.000?</w:t>
            </w:r>
          </w:p>
        </w:tc>
        <w:tc>
          <w:tcPr>
            <w:tcW w:type="dxa" w:w="4968"/>
          </w:tcPr>
          <w:p>
            <w:pPr>
              <w:spacing w:after="20" w:line="250" w:lineRule="auto"/>
            </w:pPr>
            <w:r>
              <w:rPr>
                <w:sz w:val="15"/>
              </w:rPr>
              <w:t>Tính lại Bedrock quota/tokens/s, Queue, Sandbox đồng thời, RDS và chi phí biến đổi.</w:t>
            </w:r>
          </w:p>
        </w:tc>
      </w:tr>
      <w:tr>
        <w:tc>
          <w:tcPr>
            <w:tcW w:type="dxa" w:w="4968"/>
          </w:tcPr>
          <w:p>
            <w:pPr>
              <w:spacing w:after="20" w:line="250" w:lineRule="auto"/>
            </w:pPr>
            <w:r>
              <w:rPr>
                <w:sz w:val="15"/>
              </w:rPr>
              <w:t>Token tăng/giảm giá?</w:t>
            </w:r>
          </w:p>
        </w:tc>
        <w:tc>
          <w:tcPr>
            <w:tcW w:type="dxa" w:w="4968"/>
          </w:tcPr>
          <w:p>
            <w:pPr>
              <w:spacing w:after="20" w:line="250" w:lineRule="auto"/>
            </w:pPr>
            <w:r>
              <w:rPr>
                <w:sz w:val="15"/>
              </w:rPr>
              <w:t>Chỉ recalculates model token bill trước; so lại routing, cache và điểm hòa vốn GPU.</w:t>
            </w:r>
          </w:p>
        </w:tc>
      </w:tr>
    </w:tbl>
    <w:p>
      <w:pPr>
        <w:spacing w:after="0"/>
      </w:pPr>
    </w:p>
    <w:p>
      <w:pPr>
        <w:pStyle w:val="Heading1"/>
      </w:pPr>
      <w:r>
        <w:t>15. Checklist giao nộp đúng đề</w:t>
      </w:r>
    </w:p>
    <w:p>
      <w:r>
        <w:t>Đề thực tế yêu cầu 2 file: slide 16:9 tối đa 15 slide nội dung, ≤10 MB, trình bày 7 phút; và BaoGia.xlsx với 5 cột Component / Ý nghĩa / Ghi chú / Chi phí/tháng / Bằng chứng. Report này là tài liệu nền, không thay thế slide bắt buộc.</w:t>
      </w:r>
    </w:p>
    <w:tbl>
      <w:tblPr>
        <w:tblStyle w:val="LightShading-Accent1"/>
        <w:tblW w:type="auto" w:w="0"/>
        <w:tblLayout w:type="fixed"/>
        <w:tblLook w:firstColumn="1" w:firstRow="1" w:lastColumn="0" w:lastRow="0" w:noHBand="0" w:noVBand="1" w:val="04A0"/>
      </w:tblPr>
      <w:tblGrid>
        <w:gridCol w:w="4968"/>
        <w:gridCol w:w="4968"/>
      </w:tblGrid>
      <w:tr>
        <w:tc>
          <w:tcPr>
            <w:tcW w:type="dxa" w:w="4968"/>
            <w:shd w:fill="174861"/>
          </w:tcPr>
          <w:p>
            <w:pPr>
              <w:spacing w:after="20" w:line="250" w:lineRule="auto"/>
            </w:pPr>
            <w:r>
              <w:rPr>
                <w:b/>
                <w:color w:val="FFFFFF"/>
                <w:sz w:val="15"/>
              </w:rPr>
              <w:t>Slide gợi ý</w:t>
            </w:r>
          </w:p>
        </w:tc>
        <w:tc>
          <w:tcPr>
            <w:tcW w:type="dxa" w:w="4968"/>
            <w:shd w:fill="174861"/>
          </w:tcPr>
          <w:p>
            <w:pPr>
              <w:spacing w:after="20" w:line="250" w:lineRule="auto"/>
            </w:pPr>
            <w:r>
              <w:rPr>
                <w:b/>
                <w:color w:val="FFFFFF"/>
                <w:sz w:val="15"/>
              </w:rPr>
              <w:t>Nội dung</w:t>
            </w:r>
          </w:p>
        </w:tc>
      </w:tr>
      <w:tr>
        <w:tc>
          <w:tcPr>
            <w:tcW w:type="dxa" w:w="4968"/>
          </w:tcPr>
          <w:p>
            <w:pPr>
              <w:spacing w:after="20" w:line="250" w:lineRule="auto"/>
            </w:pPr>
            <w:r>
              <w:rPr>
                <w:sz w:val="15"/>
              </w:rPr>
              <w:t>1–3</w:t>
            </w:r>
          </w:p>
        </w:tc>
        <w:tc>
          <w:tcPr>
            <w:tcW w:type="dxa" w:w="4968"/>
          </w:tcPr>
          <w:p>
            <w:pPr>
              <w:spacing w:after="20" w:line="250" w:lineRule="auto"/>
            </w:pPr>
            <w:r>
              <w:rPr>
                <w:sz w:val="15"/>
              </w:rPr>
              <w:t>Bài toán + sizing + architecture đủ mã component</w:t>
            </w:r>
          </w:p>
        </w:tc>
      </w:tr>
      <w:tr>
        <w:tc>
          <w:tcPr>
            <w:tcW w:type="dxa" w:w="4968"/>
          </w:tcPr>
          <w:p>
            <w:pPr>
              <w:spacing w:after="20" w:line="250" w:lineRule="auto"/>
            </w:pPr>
            <w:r>
              <w:rPr>
                <w:sz w:val="15"/>
              </w:rPr>
              <w:t>4–6</w:t>
            </w:r>
          </w:p>
        </w:tc>
        <w:tc>
          <w:tcPr>
            <w:tcW w:type="dxa" w:w="4968"/>
          </w:tcPr>
          <w:p>
            <w:pPr>
              <w:spacing w:after="20" w:line="250" w:lineRule="auto"/>
            </w:pPr>
            <w:r>
              <w:rPr>
                <w:sz w:val="15"/>
              </w:rPr>
              <w:t>Request flow + model routing/API-vs-GPU + technology comparison</w:t>
            </w:r>
          </w:p>
        </w:tc>
      </w:tr>
      <w:tr>
        <w:tc>
          <w:tcPr>
            <w:tcW w:type="dxa" w:w="4968"/>
          </w:tcPr>
          <w:p>
            <w:pPr>
              <w:spacing w:after="20" w:line="250" w:lineRule="auto"/>
            </w:pPr>
            <w:r>
              <w:rPr>
                <w:sz w:val="15"/>
              </w:rPr>
              <w:t>7–9</w:t>
            </w:r>
          </w:p>
        </w:tc>
        <w:tc>
          <w:tcPr>
            <w:tcW w:type="dxa" w:w="4968"/>
          </w:tcPr>
          <w:p>
            <w:pPr>
              <w:spacing w:after="20" w:line="250" w:lineRule="auto"/>
            </w:pPr>
            <w:r>
              <w:rPr>
                <w:sz w:val="15"/>
              </w:rPr>
              <w:t>Connectors/ACL + Workspace/Sandbox + Security/Governance</w:t>
            </w:r>
          </w:p>
        </w:tc>
      </w:tr>
      <w:tr>
        <w:tc>
          <w:tcPr>
            <w:tcW w:type="dxa" w:w="4968"/>
          </w:tcPr>
          <w:p>
            <w:pPr>
              <w:spacing w:after="20" w:line="250" w:lineRule="auto"/>
            </w:pPr>
            <w:r>
              <w:rPr>
                <w:sz w:val="15"/>
              </w:rPr>
              <w:t>10–12</w:t>
            </w:r>
          </w:p>
        </w:tc>
        <w:tc>
          <w:tcPr>
            <w:tcW w:type="dxa" w:w="4968"/>
          </w:tcPr>
          <w:p>
            <w:pPr>
              <w:spacing w:after="20" w:line="250" w:lineRule="auto"/>
            </w:pPr>
            <w:r>
              <w:rPr>
                <w:sz w:val="15"/>
              </w:rPr>
              <w:t>HA/DR + Monitoring/FinOps + Cost/risks/4.000 DAU</w:t>
            </w:r>
          </w:p>
        </w:tc>
      </w:tr>
    </w:tbl>
    <w:p>
      <w:pPr>
        <w:spacing w:after="0"/>
      </w:pPr>
    </w:p>
    <w:p>
      <w:r>
        <w:t>Trước khi nộp: xác minh SKU/region và giá mọi dòng chưa chắc chắn; ghi screenshot và link nguồn vào workbook; kết quả p95/HA/Eval không được điền “đạt” nếu chưa đo; staging và ops_labor phải có; tổng slide phải khớp XLSX; chạy validator trong HTML đề bài.</w:t>
      </w:r>
    </w:p>
    <w:p>
      <w:pPr>
        <w:pStyle w:val="Heading1"/>
      </w:pPr>
      <w:r>
        <w:t>Sources</w:t>
      </w:r>
    </w:p>
    <w:p>
      <w:r>
        <w:t>[D] File đề bài VBot Production Capstone do người dùng cung cấp: mục Sản phẩm, Giả định, H1–H8, Báo giá, Chấm điểm.</w:t>
      </w:r>
    </w:p>
    <w:p>
      <w:r>
        <w:t>[S1] Anthropic — Scaling Managed Agents — https://www.anthropic.com/engineering/managed-agents</w:t>
      </w:r>
    </w:p>
    <w:p>
      <w:r>
        <w:t>[S2] AWS — Global Cross-Region Inference Singapore — https://aws.amazon.com/blogs/machine-learning/global-cross-region-inference-for-latest-anthropic-claude-opus-sonnet-and-haiku-models-on-amazon-bedrock-in-thailand-malaysia-singapore-indonesia-and-taiwan/</w:t>
      </w:r>
    </w:p>
    <w:p>
      <w:r>
        <w:t>[S3] AWS blog — Haiku 4.5 sample price — https://aws.amazon.com/blogs/machine-learning/live-meeting-assistant-with-amazon-transcribe-amazon-bedrock-and-strands-agents/</w:t>
      </w:r>
    </w:p>
    <w:p>
      <w:r>
        <w:t>[S4] AWS blog — Sonnet 4.6 sample price — https://aws.amazon.com/blogs/machine-learning/implementing-programmatic-tool-calling-on-amazon-bedrock/</w:t>
      </w:r>
    </w:p>
    <w:p>
      <w:r>
        <w:t>[S5] AWS ECS — Fargate isolation — https://docs.aws.amazon.com/AmazonECS/latest/developerguide/security-fargate-ec2.html</w:t>
      </w:r>
    </w:p>
    <w:p>
      <w:r>
        <w:t>[S6] AWS Bedrock FAQ — Data privacy — https://aws.amazon.com/bedrock/faqs/</w:t>
      </w:r>
    </w:p>
    <w:p>
      <w:r>
        <w:t>[S7] AWS Pricing Calculator — https://calculator.aws/</w:t>
      </w:r>
    </w:p>
    <w:p>
      <w:r>
        <w:t>[S8] AWS SQS Standard delivery semantics — https://docs.aws.amazon.com/AWSSimpleQueueService/latest/SQSDeveloperGuide/standard-queues.html</w:t>
      </w:r>
    </w:p>
    <w:p>
      <w:r>
        <w:t>[S9] AWS official price pages — https://aws.amazon.com/bedrock/pricing/ ; https://aws.amazon.com/fargate/pricing/ ; https://aws.amazon.com/rds/postgresql/pricing/ ; https://aws.amazon.com/cognito/pricing/</w:t>
      </w:r>
    </w:p>
    <w:sectPr w:rsidR="00FC693F" w:rsidRPr="0006063C" w:rsidSect="00034616">
      <w:headerReference w:type="default" r:id="rId9"/>
      <w:footerReference w:type="default" r:id="rId10"/>
      <w:pgSz w:w="12240" w:h="15840"/>
      <w:pgMar w:top="1051"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VBot Architecture &amp; Cost  ·  16/10/2026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4C6676"/>
        <w:sz w:val="16"/>
      </w:rPr>
      <w:t>VBOT / PRODUCTION CAPSTONE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DejaVu Sans" w:hAnsi="DejaVu Sans"/>
      <w:color w:val="263742"/>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DejaVu Sans" w:hAnsi="DejaVu Sans"/>
      <w:b/>
      <w:bCs/>
      <w:color w:val="0D3B53"/>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DejaVu Sans" w:hAnsi="DejaVu Sans"/>
      <w:b/>
      <w:bCs/>
      <w:color w:val="0D3B5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40"/>
      <w:contextualSpacing/>
    </w:pPr>
    <w:rPr>
      <w:rFonts w:asciiTheme="majorHAnsi" w:eastAsiaTheme="majorEastAsia" w:hAnsiTheme="majorHAnsi" w:cstheme="majorBidi" w:ascii="DejaVu Sans" w:hAnsi="DejaVu Sans"/>
      <w:b/>
      <w:color w:val="0D3B53"/>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