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Experiment Card — Can Task Merge Demand Be Predicted Before Evaluation?</w:t>
      </w:r>
    </w:p>
    <w:p>
      <w:pPr>
        <w:spacing w:after="160"/>
      </w:pPr>
      <w:r>
        <w:rPr>
          <w:rFonts w:ascii="Aptos" w:hAnsi="Aptos"/>
          <w:b/>
          <w:color w:val="323232"/>
          <w:sz w:val="22"/>
        </w:rPr>
        <w:t>Mục tiêu: kiểm tra xem nhu cầu tài nguyên khi merge của từng task có thể được ước lượng từ cấu trúc task vector và quan hệ hình học với merge context, trước khi chạy inference trên các candidate merged models hay không.</w:t>
      </w:r>
    </w:p>
    <w:tbl>
      <w:tblPr>
        <w:tblStyle w:val="TableGrid"/>
        <w:tblW w:type="auto" w:w="0"/>
        <w:jc w:val="center"/>
        <w:tblLook w:firstColumn="1" w:firstRow="1" w:lastColumn="0" w:lastRow="0" w:noHBand="0" w:noVBand="1" w:val="04A0"/>
      </w:tblPr>
      <w:tblGrid>
        <w:gridCol w:w="5040"/>
        <w:gridCol w:w="5040"/>
      </w:tblGrid>
      <w:tr>
        <w:tc>
          <w:tcPr>
            <w:tcW w:type="dxa" w:w="2160"/>
            <w:tcMar>
              <w:top w:w="90" w:type="dxa"/>
              <w:start w:w="100" w:type="dxa"/>
              <w:bottom w:w="90" w:type="dxa"/>
              <w:end w:w="100" w:type="dxa"/>
            </w:tcMar>
            <w:vAlign w:val="center"/>
            <w:shd w:fill="D9EAF7"/>
          </w:tcPr>
          <w:p>
            <w:r>
              <w:rPr>
                <w:b/>
              </w:rPr>
              <w:t>Vai trò</w:t>
            </w:r>
          </w:p>
        </w:tc>
        <w:tc>
          <w:tcPr>
            <w:tcW w:type="dxa" w:w="7632"/>
            <w:tcMar>
              <w:top w:w="90" w:type="dxa"/>
              <w:start w:w="100" w:type="dxa"/>
              <w:bottom w:w="90" w:type="dxa"/>
              <w:end w:w="100" w:type="dxa"/>
            </w:tcMar>
          </w:tcPr>
          <w:p>
            <w:r>
              <w:t>Go/No-Go experiment trước khi xây demand-aware allocator</w:t>
            </w:r>
          </w:p>
        </w:tc>
      </w:tr>
      <w:tr>
        <w:tc>
          <w:tcPr>
            <w:tcW w:type="dxa" w:w="2160"/>
            <w:tcMar>
              <w:top w:w="90" w:type="dxa"/>
              <w:start w:w="100" w:type="dxa"/>
              <w:bottom w:w="90" w:type="dxa"/>
              <w:end w:w="100" w:type="dxa"/>
            </w:tcMar>
            <w:vAlign w:val="center"/>
            <w:shd w:fill="D9EAF7"/>
          </w:tcPr>
          <w:p>
            <w:r>
              <w:rPr>
                <w:b/>
              </w:rPr>
              <w:t>Đối tượng</w:t>
            </w:r>
          </w:p>
        </w:tc>
        <w:tc>
          <w:tcPr>
            <w:tcW w:type="dxa" w:w="7632"/>
            <w:tcMar>
              <w:top w:w="90" w:type="dxa"/>
              <w:start w:w="100" w:type="dxa"/>
              <w:bottom w:w="90" w:type="dxa"/>
              <w:end w:w="100" w:type="dxa"/>
            </w:tcMar>
          </w:tcPr>
          <w:p>
            <w:r>
              <w:t>8 LoRA rank-16: Cars, DTD, EuroSAT, GTSRB, MNIST, RESISC45, SUN397, SVHN</w:t>
            </w:r>
          </w:p>
        </w:tc>
      </w:tr>
      <w:tr>
        <w:tc>
          <w:tcPr>
            <w:tcW w:type="dxa" w:w="2160"/>
            <w:tcMar>
              <w:top w:w="90" w:type="dxa"/>
              <w:start w:w="100" w:type="dxa"/>
              <w:bottom w:w="90" w:type="dxa"/>
              <w:end w:w="100" w:type="dxa"/>
            </w:tcMar>
            <w:vAlign w:val="center"/>
            <w:shd w:fill="D9EAF7"/>
          </w:tcPr>
          <w:p>
            <w:r>
              <w:rPr>
                <w:b/>
              </w:rPr>
              <w:t>Oracle</w:t>
            </w:r>
          </w:p>
        </w:tc>
        <w:tc>
          <w:tcPr>
            <w:tcW w:type="dxa" w:w="7632"/>
            <w:tcMar>
              <w:top w:w="90" w:type="dxa"/>
              <w:start w:w="100" w:type="dxa"/>
              <w:bottom w:w="90" w:type="dxa"/>
              <w:end w:w="100" w:type="dxa"/>
            </w:tcMar>
          </w:tcPr>
          <w:p>
            <w:r>
              <w:t>Scale demand, rank demand, density demand</w:t>
            </w:r>
          </w:p>
        </w:tc>
      </w:tr>
      <w:tr>
        <w:tc>
          <w:tcPr>
            <w:tcW w:type="dxa" w:w="2160"/>
            <w:tcMar>
              <w:top w:w="90" w:type="dxa"/>
              <w:start w:w="100" w:type="dxa"/>
              <w:bottom w:w="90" w:type="dxa"/>
              <w:end w:w="100" w:type="dxa"/>
            </w:tcMar>
            <w:vAlign w:val="center"/>
            <w:shd w:fill="D9EAF7"/>
          </w:tcPr>
          <w:p>
            <w:r>
              <w:rPr>
                <w:b/>
              </w:rPr>
              <w:t>Predictor input</w:t>
            </w:r>
          </w:p>
        </w:tc>
        <w:tc>
          <w:tcPr>
            <w:tcW w:type="dxa" w:w="7632"/>
            <w:tcMar>
              <w:top w:w="90" w:type="dxa"/>
              <w:start w:w="100" w:type="dxa"/>
              <w:bottom w:w="90" w:type="dxa"/>
              <w:end w:w="100" w:type="dxa"/>
            </w:tcMar>
          </w:tcPr>
          <w:p>
            <w:r>
              <w:t>Task-vector geometry + context interaction features; không dùng merged accuracy</w:t>
            </w:r>
          </w:p>
        </w:tc>
      </w:tr>
      <w:tr>
        <w:tc>
          <w:tcPr>
            <w:tcW w:type="dxa" w:w="2160"/>
            <w:tcMar>
              <w:top w:w="90" w:type="dxa"/>
              <w:start w:w="100" w:type="dxa"/>
              <w:bottom w:w="90" w:type="dxa"/>
              <w:end w:w="100" w:type="dxa"/>
            </w:tcMar>
            <w:vAlign w:val="center"/>
            <w:shd w:fill="D9EAF7"/>
          </w:tcPr>
          <w:p>
            <w:r>
              <w:rPr>
                <w:b/>
              </w:rPr>
              <w:t>Primary test</w:t>
            </w:r>
          </w:p>
        </w:tc>
        <w:tc>
          <w:tcPr>
            <w:tcW w:type="dxa" w:w="7632"/>
            <w:tcMar>
              <w:top w:w="90" w:type="dxa"/>
              <w:start w:w="100" w:type="dxa"/>
              <w:bottom w:w="90" w:type="dxa"/>
              <w:end w:w="100" w:type="dxa"/>
            </w:tcMar>
          </w:tcPr>
          <w:p>
            <w:r>
              <w:t>Leave-one-task-out Spearman correlation giữa predicted demand và oracle demand</w:t>
            </w:r>
          </w:p>
        </w:tc>
      </w:tr>
    </w:tbl>
    <w:p>
      <w:pPr>
        <w:pStyle w:val="Heading1"/>
      </w:pPr>
      <w:r>
        <w:t>1. Research Question</w:t>
      </w:r>
    </w:p>
    <w:p>
      <w:pPr>
        <w:pStyle w:val="Callout"/>
      </w:pPr>
      <w:r>
        <w:t>RQ chính: Can pre-evaluation structural signals predict the amount of merge capacity a task requires in a given merge context?</w:t>
      </w:r>
    </w:p>
    <w:p>
      <w:r>
        <w:t>Với focal task i nằm trong merge context S, mục tiêu là tìm một estimator chỉ dùng thông tin cấu trúc trước inference:</w:t>
      </w:r>
    </w:p>
    <w:p>
      <w:pPr>
        <w:spacing w:before="60" w:after="100"/>
        <w:jc w:val="center"/>
      </w:pPr>
      <w:r>
        <w:rPr>
          <w:rFonts w:ascii="Cambria Math" w:hAnsi="Cambria Math"/>
          <w:sz w:val="21"/>
        </w:rPr>
        <w:t>D̂ᵢ(S) = f(Δᵢ, {Δⱼ : j ∈ S, j ≠ i})</w:t>
      </w:r>
    </w:p>
    <w:p>
      <w:r>
        <w:t>Estimator được coi là có ý nghĩa nếu D̂ᵢ(S) tương quan và generalize với oracle demand Dᵢᵒʳᵃᶜˡᵉ(S), trong khi không dùng accuracy của candidate merged models.</w:t>
      </w:r>
    </w:p>
    <w:p>
      <w:pPr>
        <w:pStyle w:val="Heading1"/>
      </w:pPr>
      <w:r>
        <w:t>2. Hypotheses</w:t>
      </w:r>
    </w:p>
    <w:p>
      <w:pPr>
        <w:spacing w:after="80"/>
      </w:pPr>
      <w:r>
        <w:rPr>
          <w:b/>
        </w:rPr>
        <w:t xml:space="preserve">H1 — Demand heterogeneity: </w:t>
      </w:r>
      <w:r>
        <w:t>Các task có oracle demand khác nhau đáng kể trong cùng một merge context. Nếu demand gần như bằng nhau, demand estimator là không cần thiết.</w:t>
      </w:r>
    </w:p>
    <w:p>
      <w:pPr>
        <w:spacing w:after="80"/>
      </w:pPr>
      <w:r>
        <w:rPr>
          <w:b/>
        </w:rPr>
        <w:t xml:space="preserve">H2 — Context dependence: </w:t>
      </w:r>
      <w:r>
        <w:t>Demand của cùng một task thay đổi khi merge cùng các task khác: Dᵢ(S₁) ≠ Dᵢ(S₂).</w:t>
      </w:r>
    </w:p>
    <w:p>
      <w:pPr>
        <w:spacing w:after="80"/>
      </w:pPr>
      <w:r>
        <w:rPr>
          <w:b/>
        </w:rPr>
        <w:t xml:space="preserve">H3 — Structural predictability: </w:t>
      </w:r>
      <w:r>
        <w:t>Các tín hiệu như projection survival, top-k survival, spectral complexity và subspace overlap có khả năng dự đoán oracle demand.</w:t>
      </w:r>
    </w:p>
    <w:p>
      <w:pPr>
        <w:spacing w:after="80"/>
      </w:pPr>
      <w:r>
        <w:rPr>
          <w:b/>
        </w:rPr>
        <w:t xml:space="preserve">H4 — Generalization: </w:t>
      </w:r>
      <w:r>
        <w:t>Mối quan hệ structure → demand phải giữ được trên task hoặc context chưa dùng để fit estimator.</w:t>
      </w:r>
    </w:p>
    <w:p>
      <w:pPr>
        <w:pStyle w:val="Heading1"/>
      </w:pPr>
      <w:r>
        <w:t>3. Phạm vi và điều kiện cố định</w:t>
      </w:r>
    </w:p>
    <w:p>
      <w:r>
        <w:t>Sử dụng lại 8 LoRA rank-16 hiện tại; không train lại adapter. Giữ cố định:</w:t>
      </w:r>
    </w:p>
    <w:p>
      <w:pPr>
        <w:pStyle w:val="ListBullet"/>
        <w:spacing w:after="40"/>
      </w:pPr>
      <w:r>
        <w:t>backbone và LoRA checkpoints</w:t>
      </w:r>
    </w:p>
    <w:p>
      <w:pPr>
        <w:pStyle w:val="ListBullet"/>
        <w:spacing w:after="40"/>
      </w:pPr>
      <w:r>
        <w:t>singular-value smoothing</w:t>
      </w:r>
    </w:p>
    <w:p>
      <w:pPr>
        <w:pStyle w:val="ListBullet"/>
        <w:spacing w:after="40"/>
      </w:pPr>
      <w:r>
        <w:t>cover-space projection</w:t>
      </w:r>
    </w:p>
    <w:p>
      <w:pPr>
        <w:pStyle w:val="ListBullet"/>
        <w:spacing w:after="40"/>
      </w:pPr>
      <w:r>
        <w:t>top-k và TIES aggregation</w:t>
      </w:r>
    </w:p>
    <w:p>
      <w:pPr>
        <w:pStyle w:val="ListBullet"/>
        <w:spacing w:after="40"/>
      </w:pPr>
      <w:r>
        <w:t>alpha = 0.8</w:t>
      </w:r>
    </w:p>
    <w:p>
      <w:pPr>
        <w:pStyle w:val="ListBullet"/>
        <w:spacing w:after="40"/>
      </w:pPr>
      <w:r>
        <w:t>preprocessing và evaluation protocol</w:t>
      </w:r>
    </w:p>
    <w:p>
      <w:r>
        <w:rPr>
          <w:b/>
        </w:rPr>
        <w:t xml:space="preserve">Nguyên tắc bắt buộc: </w:t>
      </w:r>
      <w:r>
        <w:t>final test không được dùng để chọn feature, tune estimator hoặc chọn oracle definition.</w:t>
      </w:r>
    </w:p>
    <w:p>
      <w:pPr>
        <w:pStyle w:val="Heading1"/>
      </w:pPr>
      <w:r>
        <w:t>4. Đơn vị dữ liệu</w:t>
      </w:r>
    </w:p>
    <w:p>
      <w:r>
        <w:t>Một data point là một cặp (focal task, merge context):</w:t>
      </w:r>
    </w:p>
    <w:p>
      <w:pPr>
        <w:spacing w:before="60" w:after="100"/>
        <w:jc w:val="center"/>
      </w:pPr>
      <w:r>
        <w:rPr>
          <w:rFonts w:ascii="Cambria Math" w:hAnsi="Cambria Math"/>
          <w:sz w:val="21"/>
        </w:rPr>
        <w:t>(i, S)</w:t>
      </w:r>
    </w:p>
    <w:p>
      <w:r>
        <w:t>Ví dụ: (EuroSAT, {EuroSAT, Cars, DTD, SUN397}). Mỗi data point phải có hai nhóm thông tin:</w:t>
      </w:r>
    </w:p>
    <w:p>
      <w:pPr>
        <w:pStyle w:val="ListBullet"/>
        <w:spacing w:after="40"/>
      </w:pPr>
      <w:r>
        <w:t>Oracle target Dᵢᵒʳᵃᶜˡᵉ(S), đo bằng resource sweep có inference.</w:t>
      </w:r>
    </w:p>
    <w:p>
      <w:pPr>
        <w:pStyle w:val="ListBullet"/>
        <w:spacing w:after="40"/>
      </w:pPr>
      <w:r>
        <w:t>Pre-evaluation feature vector xᵢ(S), tính chỉ từ task vectors và trạng thái trung gian của merge trước inference.</w:t>
      </w:r>
    </w:p>
    <w:p>
      <w:pPr>
        <w:pStyle w:val="Heading1"/>
      </w:pPr>
      <w:r>
        <w:t>5. Merge contexts cần tạo</w:t>
      </w:r>
    </w:p>
    <w:p>
      <w:r>
        <w:t>Mục tiêu là tạo đủ variation để tách task effect khỏi context effect.</w:t>
      </w:r>
    </w:p>
    <w:p>
      <w:r>
        <w:rPr>
          <w:b/>
        </w:rPr>
        <w:t xml:space="preserve">Phase A — Pairwise contexts: </w:t>
      </w:r>
      <w:r>
        <w:t>Dùng toàn bộ C(8,2)=28 cặp. Mỗi task xuất hiện cùng 7 partner khác nhau. Đây là setting chính để kiểm tra partner dependence.</w:t>
      </w:r>
    </w:p>
    <w:p>
      <w:r>
        <w:rPr>
          <w:b/>
        </w:rPr>
        <w:t xml:space="preserve">Phase B — 4-task contexts: </w:t>
      </w:r>
      <w:r>
        <w:t>Với mỗi focal task, sample tối thiểu 5 context 4-task khác nhau. Mục tiêu tối thiểu: 8 × 5 = 40 focal-context observations. Manifest phải khóa trước final analysis.</w:t>
      </w:r>
    </w:p>
    <w:p>
      <w:r>
        <w:rPr>
          <w:b/>
        </w:rPr>
        <w:t xml:space="preserve">Phase C — 6/8-task contexts: </w:t>
      </w:r>
      <w:r>
        <w:t>Tái sử dụng các context hợp lệ từ thí nghiệm 3 để kiểm tra estimator có còn hoạt động khi merge set lớn hơn hay không.</w:t>
      </w:r>
    </w:p>
    <w:p>
      <w:pPr>
        <w:pStyle w:val="Heading1"/>
      </w:pPr>
      <w:r>
        <w:t>6. Oracle Demand — Resource Sweeps</w:t>
      </w:r>
    </w:p>
    <w:p>
      <w:r>
        <w:t>Không định nghĩa demand bằng một hyperparameter tối ưu đơn lẻ. Mentee phải tạo ít nhất hai oracle demand; ưu tiên cả ba để kiểm tra cross-resource consistency.</w:t>
      </w:r>
    </w:p>
    <w:p>
      <w:pPr>
        <w:pStyle w:val="Heading2"/>
      </w:pPr>
      <w:r>
        <w:t>6.1 Scale demand</w:t>
      </w:r>
    </w:p>
    <w:p>
      <w:r>
        <w:t>Với focal task i: sᵢ ∈ {0.50, 0.75, 1.00, 1.25, 1.50}; các task khác giữ sⱼ = 1.0. Đo Rᵢ(sᵢ; S).</w:t>
      </w:r>
    </w:p>
    <w:p>
      <w:pPr>
        <w:spacing w:before="60" w:after="100"/>
        <w:jc w:val="center"/>
      </w:pPr>
      <w:r>
        <w:rPr>
          <w:rFonts w:ascii="Cambria Math" w:hAnsi="Cambria Math"/>
          <w:sz w:val="21"/>
        </w:rPr>
        <w:t>Dᵢˢᶜᵃˡᵉ = AUC [ Rᵢ(sₘₐₓ) − Rᵢ(s) ]</w:t>
      </w:r>
    </w:p>
    <w:p>
      <w:r>
        <w:t>Primary metric: normalized AUC của performance deficit. Secondary robustness metric: local slope quanh baseline.</w:t>
      </w:r>
    </w:p>
    <w:p>
      <w:pPr>
        <w:spacing w:before="60" w:after="100"/>
        <w:jc w:val="center"/>
      </w:pPr>
      <w:r>
        <w:rPr>
          <w:rFonts w:ascii="Cambria Math" w:hAnsi="Cambria Math"/>
          <w:sz w:val="21"/>
        </w:rPr>
        <w:t>Gᵢˢᶜᵃˡᵉ = [Rᵢ(1.25) − Rᵢ(0.75)] / (1.25 − 0.75)</w:t>
      </w:r>
    </w:p>
    <w:p>
      <w:pPr>
        <w:pStyle w:val="Heading2"/>
      </w:pPr>
      <w:r>
        <w:t>6.2 Rank demand</w:t>
      </w:r>
    </w:p>
    <w:p>
      <w:r>
        <w:t>Với LoRA rank 16, tạo truncated representation cho focal task: rᵢ ∈ {2, 4, 8, 12, 16}; các task khác giữ rank 16. Không retrain adapter.</w:t>
      </w:r>
    </w:p>
    <w:p>
      <w:pPr>
        <w:spacing w:before="60" w:after="100"/>
        <w:jc w:val="center"/>
      </w:pPr>
      <w:r>
        <w:rPr>
          <w:rFonts w:ascii="Cambria Math" w:hAnsi="Cambria Math"/>
          <w:sz w:val="21"/>
        </w:rPr>
        <w:t>Dᵢʳᵃⁿᵏ = AUC [ Rᵢ(16) − Rᵢ(r) ]</w:t>
      </w:r>
    </w:p>
    <w:p>
      <w:r>
        <w:t>Demand cao nếu retention mất nhanh khi rank bị rút bớt.</w:t>
      </w:r>
    </w:p>
    <w:p>
      <w:pPr>
        <w:pStyle w:val="Heading2"/>
      </w:pPr>
      <w:r>
        <w:t>6.3 Density demand</w:t>
      </w:r>
    </w:p>
    <w:p>
      <w:r>
        <w:t>Vary fraction component được retain sau projection/top-k cho focal task; khuyến nghị relative density dᵢ ∈ {0.25, 0.50, 0.75, 1.00} so với baseline. Các task khác giữ baseline density.</w:t>
      </w:r>
    </w:p>
    <w:p>
      <w:pPr>
        <w:spacing w:before="60" w:after="100"/>
        <w:jc w:val="center"/>
      </w:pPr>
      <w:r>
        <w:rPr>
          <w:rFonts w:ascii="Cambria Math" w:hAnsi="Cambria Math"/>
          <w:sz w:val="21"/>
        </w:rPr>
        <w:t>Dᵢᵈᵉⁿˢⁱᵗʸ = AUC [ Rᵢ(dₘₐₓ) − Rᵢ(d) ]</w:t>
      </w:r>
    </w:p>
    <w:p>
      <w:pPr>
        <w:pStyle w:val="Heading2"/>
      </w:pPr>
      <w:r>
        <w:t>6.4 Có nên tạo một oracle demand tổng hợp?</w:t>
      </w:r>
    </w:p>
    <w:p>
      <w:r>
        <w:t>Không ép ba demand thành một scalar trước khi kiểm tra consistency. Trước tiên tính Spearman giữa từng cặp resource demand:</w:t>
      </w:r>
    </w:p>
    <w:p>
      <w:pPr>
        <w:spacing w:before="60" w:after="100"/>
        <w:jc w:val="center"/>
      </w:pPr>
      <w:r>
        <w:rPr>
          <w:rFonts w:ascii="Cambria Math" w:hAnsi="Cambria Math"/>
          <w:sz w:val="21"/>
        </w:rPr>
        <w:t>ρ(scale, rank), ρ(scale, density), ρ(rank, density)</w:t>
      </w:r>
    </w:p>
    <w:p>
      <w:r>
        <w:t>Chỉ khi các demand có cấu trúc chung rõ ràng mới tạo composite score, ví dụ trung bình z-score. Nếu không correlate, kết luận phải chuyển sang “merge demand is multidimensional”.</w:t>
      </w:r>
    </w:p>
    <w:p>
      <w:pPr>
        <w:pStyle w:val="Heading1"/>
      </w:pPr>
      <w:r>
        <w:t>7. Pre-Evaluation Feature Set</w:t>
      </w:r>
    </w:p>
    <w:p>
      <w:r>
        <w:t>Tất cả feature ở phần này phải tính được mà không cần candidate merged accuracy.</w:t>
      </w:r>
    </w:p>
    <w:p>
      <w:pPr>
        <w:pStyle w:val="Heading2"/>
      </w:pPr>
      <w:r>
        <w:t>7.1 Self-structure features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9EAF7"/>
          </w:tcPr>
          <w:p>
            <w:r>
              <w:rPr>
                <w:b/>
              </w:rPr>
              <w:t>Feature</w:t>
            </w:r>
          </w:p>
        </w:tc>
        <w:tc>
          <w:tcPr>
            <w:tcW w:type="dxa" w:w="5040"/>
            <w:shd w:fill="D9EAF7"/>
          </w:tcPr>
          <w:p>
            <w:r>
              <w:rPr>
                <w:b/>
              </w:rPr>
              <w:t>Định nghĩa / ghi chú</w:t>
            </w:r>
          </w:p>
        </w:tc>
      </w:tr>
      <w:tr>
        <w:tc>
          <w:tcPr>
            <w:tcW w:type="dxa" w:w="5040"/>
            <w:tcMar>
              <w:top w:w="90" w:type="dxa"/>
              <w:start w:w="100" w:type="dxa"/>
              <w:bottom w:w="90" w:type="dxa"/>
              <w:end w:w="100" w:type="dxa"/>
            </w:tcMar>
          </w:tcPr>
          <w:p>
            <w:r>
              <w:t>Magnitude</w:t>
            </w:r>
          </w:p>
        </w:tc>
        <w:tc>
          <w:tcPr>
            <w:tcW w:type="dxa" w:w="5040"/>
            <w:tcMar>
              <w:top w:w="90" w:type="dxa"/>
              <w:start w:w="100" w:type="dxa"/>
              <w:bottom w:w="90" w:type="dxa"/>
              <w:end w:w="100" w:type="dxa"/>
            </w:tcMar>
          </w:tcPr>
          <w:p>
            <w:r>
              <w:t>||Δᵢ||F, ||Δᵢ||F²</w:t>
            </w:r>
          </w:p>
        </w:tc>
      </w:tr>
      <w:tr>
        <w:tc>
          <w:tcPr>
            <w:tcW w:type="dxa" w:w="5040"/>
            <w:tcMar>
              <w:top w:w="90" w:type="dxa"/>
              <w:start w:w="100" w:type="dxa"/>
              <w:bottom w:w="90" w:type="dxa"/>
              <w:end w:w="100" w:type="dxa"/>
            </w:tcMar>
          </w:tcPr>
          <w:p>
            <w:r>
              <w:t>Nuclear norm</w:t>
            </w:r>
          </w:p>
        </w:tc>
        <w:tc>
          <w:tcPr>
            <w:tcW w:type="dxa" w:w="5040"/>
            <w:tcMar>
              <w:top w:w="90" w:type="dxa"/>
              <w:start w:w="100" w:type="dxa"/>
              <w:bottom w:w="90" w:type="dxa"/>
              <w:end w:w="100" w:type="dxa"/>
            </w:tcMar>
          </w:tcPr>
          <w:p>
            <w:r>
              <w:t>||Δᵢ||*</w:t>
            </w:r>
          </w:p>
        </w:tc>
      </w:tr>
      <w:tr>
        <w:tc>
          <w:tcPr>
            <w:tcW w:type="dxa" w:w="5040"/>
            <w:tcMar>
              <w:top w:w="90" w:type="dxa"/>
              <w:start w:w="100" w:type="dxa"/>
              <w:bottom w:w="90" w:type="dxa"/>
              <w:end w:w="100" w:type="dxa"/>
            </w:tcMar>
          </w:tcPr>
          <w:p>
            <w:r>
              <w:t>Spectral entropy</w:t>
            </w:r>
          </w:p>
        </w:tc>
        <w:tc>
          <w:tcPr>
            <w:tcW w:type="dxa" w:w="5040"/>
            <w:tcMar>
              <w:top w:w="90" w:type="dxa"/>
              <w:start w:w="100" w:type="dxa"/>
              <w:bottom w:w="90" w:type="dxa"/>
              <w:end w:w="100" w:type="dxa"/>
            </w:tcMar>
          </w:tcPr>
          <w:p>
            <w:r>
              <w:t>pₖ = σₖ² / Σσₗ²; Hᵢ = −Σ pₖ log pₖ</w:t>
            </w:r>
          </w:p>
        </w:tc>
      </w:tr>
      <w:tr>
        <w:tc>
          <w:tcPr>
            <w:tcW w:type="dxa" w:w="5040"/>
            <w:tcMar>
              <w:top w:w="90" w:type="dxa"/>
              <w:start w:w="100" w:type="dxa"/>
              <w:bottom w:w="90" w:type="dxa"/>
              <w:end w:w="100" w:type="dxa"/>
            </w:tcMar>
          </w:tcPr>
          <w:p>
            <w:r>
              <w:t>Effective rank</w:t>
            </w:r>
          </w:p>
        </w:tc>
        <w:tc>
          <w:tcPr>
            <w:tcW w:type="dxa" w:w="5040"/>
            <w:tcMar>
              <w:top w:w="90" w:type="dxa"/>
              <w:start w:w="100" w:type="dxa"/>
              <w:bottom w:w="90" w:type="dxa"/>
              <w:end w:w="100" w:type="dxa"/>
            </w:tcMar>
          </w:tcPr>
          <w:p>
            <w:r>
              <w:t>r_eff = exp(Hᵢ)</w:t>
            </w:r>
          </w:p>
        </w:tc>
      </w:tr>
      <w:tr>
        <w:tc>
          <w:tcPr>
            <w:tcW w:type="dxa" w:w="5040"/>
            <w:tcMar>
              <w:top w:w="90" w:type="dxa"/>
              <w:start w:w="100" w:type="dxa"/>
              <w:bottom w:w="90" w:type="dxa"/>
              <w:end w:w="100" w:type="dxa"/>
            </w:tcMar>
          </w:tcPr>
          <w:p>
            <w:r>
              <w:t>Energy concentration</w:t>
            </w:r>
          </w:p>
        </w:tc>
        <w:tc>
          <w:tcPr>
            <w:tcW w:type="dxa" w:w="5040"/>
            <w:tcMar>
              <w:top w:w="90" w:type="dxa"/>
              <w:start w:w="100" w:type="dxa"/>
              <w:bottom w:w="90" w:type="dxa"/>
              <w:end w:w="100" w:type="dxa"/>
            </w:tcMar>
          </w:tcPr>
          <w:p>
            <w:r>
              <w:t>Số/fraction singular components cần để giữ 25%, 50%, 75%, 90% energy</w:t>
            </w:r>
          </w:p>
        </w:tc>
      </w:tr>
      <w:tr>
        <w:tc>
          <w:tcPr>
            <w:tcW w:type="dxa" w:w="5040"/>
            <w:tcMar>
              <w:top w:w="90" w:type="dxa"/>
              <w:start w:w="100" w:type="dxa"/>
              <w:bottom w:w="90" w:type="dxa"/>
              <w:end w:w="100" w:type="dxa"/>
            </w:tcMar>
          </w:tcPr>
          <w:p>
            <w:r>
              <w:t>Layer-wise norm statistics</w:t>
            </w:r>
          </w:p>
        </w:tc>
        <w:tc>
          <w:tcPr>
            <w:tcW w:type="dxa" w:w="5040"/>
            <w:tcMar>
              <w:top w:w="90" w:type="dxa"/>
              <w:start w:w="100" w:type="dxa"/>
              <w:bottom w:w="90" w:type="dxa"/>
              <w:end w:w="100" w:type="dxa"/>
            </w:tcMar>
          </w:tcPr>
          <w:p>
            <w:r>
              <w:t>mean, std, max và coefficient of variation qua module/layer</w:t>
            </w:r>
          </w:p>
        </w:tc>
      </w:tr>
    </w:tbl>
    <w:p>
      <w:pPr>
        <w:pStyle w:val="Heading2"/>
      </w:pPr>
      <w:r>
        <w:t>7.2 Context interaction features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9EAF7"/>
          </w:tcPr>
          <w:p>
            <w:r>
              <w:rPr>
                <w:b/>
              </w:rPr>
              <w:t>Feature</w:t>
            </w:r>
          </w:p>
        </w:tc>
        <w:tc>
          <w:tcPr>
            <w:tcW w:type="dxa" w:w="5040"/>
            <w:shd w:fill="D9EAF7"/>
          </w:tcPr>
          <w:p>
            <w:r>
              <w:rPr>
                <w:b/>
              </w:rPr>
              <w:t>Định nghĩa / ghi chú</w:t>
            </w:r>
          </w:p>
        </w:tc>
      </w:tr>
      <w:tr>
        <w:tc>
          <w:tcPr>
            <w:tcW w:type="dxa" w:w="5040"/>
            <w:tcMar>
              <w:top w:w="90" w:type="dxa"/>
              <w:start w:w="100" w:type="dxa"/>
              <w:bottom w:w="90" w:type="dxa"/>
              <w:end w:w="100" w:type="dxa"/>
            </w:tcMar>
          </w:tcPr>
          <w:p>
            <w:r>
              <w:t>Projection survival</w:t>
            </w:r>
          </w:p>
        </w:tc>
        <w:tc>
          <w:tcPr>
            <w:tcW w:type="dxa" w:w="5040"/>
            <w:tcMar>
              <w:top w:w="90" w:type="dxa"/>
              <w:start w:w="100" w:type="dxa"/>
              <w:bottom w:w="90" w:type="dxa"/>
              <w:end w:w="100" w:type="dxa"/>
            </w:tcMar>
          </w:tcPr>
          <w:p>
            <w:r>
              <w:t>qᵢᵖʳᵒʲ = ||Pᵢ||F² / (||Δ̃ᵢ||F² + ε)</w:t>
            </w:r>
          </w:p>
        </w:tc>
      </w:tr>
      <w:tr>
        <w:tc>
          <w:tcPr>
            <w:tcW w:type="dxa" w:w="5040"/>
            <w:tcMar>
              <w:top w:w="90" w:type="dxa"/>
              <w:start w:w="100" w:type="dxa"/>
              <w:bottom w:w="90" w:type="dxa"/>
              <w:end w:w="100" w:type="dxa"/>
            </w:tcMar>
          </w:tcPr>
          <w:p>
            <w:r>
              <w:t>Projection loss</w:t>
            </w:r>
          </w:p>
        </w:tc>
        <w:tc>
          <w:tcPr>
            <w:tcW w:type="dxa" w:w="5040"/>
            <w:tcMar>
              <w:top w:w="90" w:type="dxa"/>
              <w:start w:w="100" w:type="dxa"/>
              <w:bottom w:w="90" w:type="dxa"/>
              <w:end w:w="100" w:type="dxa"/>
            </w:tcMar>
          </w:tcPr>
          <w:p>
            <w:r>
              <w:t>Lᵢᵖʳᵒʲ = 1 − qᵢᵖʳᵒʲ</w:t>
            </w:r>
          </w:p>
        </w:tc>
      </w:tr>
      <w:tr>
        <w:tc>
          <w:tcPr>
            <w:tcW w:type="dxa" w:w="5040"/>
            <w:tcMar>
              <w:top w:w="90" w:type="dxa"/>
              <w:start w:w="100" w:type="dxa"/>
              <w:bottom w:w="90" w:type="dxa"/>
              <w:end w:w="100" w:type="dxa"/>
            </w:tcMar>
          </w:tcPr>
          <w:p>
            <w:r>
              <w:t>Top-k survival</w:t>
            </w:r>
          </w:p>
        </w:tc>
        <w:tc>
          <w:tcPr>
            <w:tcW w:type="dxa" w:w="5040"/>
            <w:tcMar>
              <w:top w:w="90" w:type="dxa"/>
              <w:start w:w="100" w:type="dxa"/>
              <w:bottom w:w="90" w:type="dxa"/>
              <w:end w:w="100" w:type="dxa"/>
            </w:tcMar>
          </w:tcPr>
          <w:p>
            <w:r>
              <w:t>qᵢᵗᵒᵖᵏ = ||Kᵢ||F² / (||Pᵢ||F² + ε)</w:t>
            </w:r>
          </w:p>
        </w:tc>
      </w:tr>
      <w:tr>
        <w:tc>
          <w:tcPr>
            <w:tcW w:type="dxa" w:w="5040"/>
            <w:tcMar>
              <w:top w:w="90" w:type="dxa"/>
              <w:start w:w="100" w:type="dxa"/>
              <w:bottom w:w="90" w:type="dxa"/>
              <w:end w:w="100" w:type="dxa"/>
            </w:tcMar>
          </w:tcPr>
          <w:p>
            <w:r>
              <w:t>Total survival</w:t>
            </w:r>
          </w:p>
        </w:tc>
        <w:tc>
          <w:tcPr>
            <w:tcW w:type="dxa" w:w="5040"/>
            <w:tcMar>
              <w:top w:w="90" w:type="dxa"/>
              <w:start w:w="100" w:type="dxa"/>
              <w:bottom w:w="90" w:type="dxa"/>
              <w:end w:w="100" w:type="dxa"/>
            </w:tcMar>
          </w:tcPr>
          <w:p>
            <w:r>
              <w:t>qᵢᵗᵒᵗᵃˡ = ||Kᵢ||F² / (||Δ̃ᵢ||F² + ε)</w:t>
            </w:r>
          </w:p>
        </w:tc>
      </w:tr>
      <w:tr>
        <w:tc>
          <w:tcPr>
            <w:tcW w:type="dxa" w:w="5040"/>
            <w:tcMar>
              <w:top w:w="90" w:type="dxa"/>
              <w:start w:w="100" w:type="dxa"/>
              <w:bottom w:w="90" w:type="dxa"/>
              <w:end w:w="100" w:type="dxa"/>
            </w:tcMar>
          </w:tcPr>
          <w:p>
            <w:r>
              <w:t>Pairwise cosine</w:t>
            </w:r>
          </w:p>
        </w:tc>
        <w:tc>
          <w:tcPr>
            <w:tcW w:type="dxa" w:w="5040"/>
            <w:tcMar>
              <w:top w:w="90" w:type="dxa"/>
              <w:start w:w="100" w:type="dxa"/>
              <w:bottom w:w="90" w:type="dxa"/>
              <w:end w:w="100" w:type="dxa"/>
            </w:tcMar>
          </w:tcPr>
          <w:p>
            <w:r>
              <w:t>cos(Δᵢ, Δⱼ), aggregate mean/min/max/std qua partner</w:t>
            </w:r>
          </w:p>
        </w:tc>
      </w:tr>
      <w:tr>
        <w:tc>
          <w:tcPr>
            <w:tcW w:type="dxa" w:w="5040"/>
            <w:tcMar>
              <w:top w:w="90" w:type="dxa"/>
              <w:start w:w="100" w:type="dxa"/>
              <w:bottom w:w="90" w:type="dxa"/>
              <w:end w:w="100" w:type="dxa"/>
            </w:tcMar>
          </w:tcPr>
          <w:p>
            <w:r>
              <w:t>Subspace overlap</w:t>
            </w:r>
          </w:p>
        </w:tc>
        <w:tc>
          <w:tcPr>
            <w:tcW w:type="dxa" w:w="5040"/>
            <w:tcMar>
              <w:top w:w="90" w:type="dxa"/>
              <w:start w:w="100" w:type="dxa"/>
              <w:bottom w:w="90" w:type="dxa"/>
              <w:end w:w="100" w:type="dxa"/>
            </w:tcMar>
          </w:tcPr>
          <w:p>
            <w:r>
              <w:t>Projector/principal-angle overlap giữa top singular subspaces; aggregate qua context</w:t>
            </w:r>
          </w:p>
        </w:tc>
      </w:tr>
      <w:tr>
        <w:tc>
          <w:tcPr>
            <w:tcW w:type="dxa" w:w="5040"/>
            <w:tcMar>
              <w:top w:w="90" w:type="dxa"/>
              <w:start w:w="100" w:type="dxa"/>
              <w:bottom w:w="90" w:type="dxa"/>
              <w:end w:w="100" w:type="dxa"/>
            </w:tcMar>
          </w:tcPr>
          <w:p>
            <w:r>
              <w:t>Unique-direction score</w:t>
            </w:r>
          </w:p>
        </w:tc>
        <w:tc>
          <w:tcPr>
            <w:tcW w:type="dxa" w:w="5040"/>
            <w:tcMar>
              <w:top w:w="90" w:type="dxa"/>
              <w:start w:w="100" w:type="dxa"/>
              <w:bottom w:w="90" w:type="dxa"/>
              <w:end w:w="100" w:type="dxa"/>
            </w:tcMar>
          </w:tcPr>
          <w:p>
            <w:r>
              <w:t>Energy của task nằm ngoài subspace được sinh bởi companions</w:t>
            </w:r>
          </w:p>
        </w:tc>
      </w:tr>
      <w:tr>
        <w:tc>
          <w:tcPr>
            <w:tcW w:type="dxa" w:w="5040"/>
            <w:tcMar>
              <w:top w:w="90" w:type="dxa"/>
              <w:start w:w="100" w:type="dxa"/>
              <w:bottom w:w="90" w:type="dxa"/>
              <w:end w:w="100" w:type="dxa"/>
            </w:tcMar>
          </w:tcPr>
          <w:p>
            <w:r>
              <w:t>Shared-direction score</w:t>
            </w:r>
          </w:p>
        </w:tc>
        <w:tc>
          <w:tcPr>
            <w:tcW w:type="dxa" w:w="5040"/>
            <w:tcMar>
              <w:top w:w="90" w:type="dxa"/>
              <w:start w:w="100" w:type="dxa"/>
              <w:bottom w:w="90" w:type="dxa"/>
              <w:end w:w="100" w:type="dxa"/>
            </w:tcMar>
          </w:tcPr>
          <w:p>
            <w:r>
              <w:t>1 − unique-direction score</w:t>
            </w:r>
          </w:p>
        </w:tc>
      </w:tr>
      <w:tr>
        <w:tc>
          <w:tcPr>
            <w:tcW w:type="dxa" w:w="5040"/>
            <w:tcMar>
              <w:top w:w="90" w:type="dxa"/>
              <w:start w:w="100" w:type="dxa"/>
              <w:bottom w:w="90" w:type="dxa"/>
              <w:end w:w="100" w:type="dxa"/>
            </w:tcMar>
          </w:tcPr>
          <w:p>
            <w:r>
              <w:t>Sign conflict + coverage</w:t>
            </w:r>
          </w:p>
        </w:tc>
        <w:tc>
          <w:tcPr>
            <w:tcW w:type="dxa" w:w="5040"/>
            <w:tcMar>
              <w:top w:w="90" w:type="dxa"/>
              <w:start w:w="100" w:type="dxa"/>
              <w:bottom w:w="90" w:type="dxa"/>
              <w:end w:w="100" w:type="dxa"/>
            </w:tcMar>
          </w:tcPr>
          <w:p>
            <w:r>
              <w:t>Fraction retained coordinates bất đồng với context consensus; undefined overlap phải ghi coverage, không mã hóa thành 0 conflict</w:t>
            </w:r>
          </w:p>
        </w:tc>
      </w:tr>
    </w:tbl>
    <w:p>
      <w:pPr>
        <w:pStyle w:val="Heading1"/>
      </w:pPr>
      <w:r>
        <w:t>8. Bảng dữ liệu đầu ra bắt buộc</w:t>
      </w:r>
    </w:p>
    <w:p>
      <w:r>
        <w:t>Mỗi row trong feature/oracle table tương ứng một (focal task, context). Tối thiểu gồm:</w:t>
      </w:r>
    </w:p>
    <w:tbl>
      <w:tblPr>
        <w:tblStyle w:val="TableGrid"/>
        <w:tblW w:type="auto" w:w="0"/>
        <w:jc w:val="center"/>
        <w:tblLook w:firstColumn="1" w:firstRow="1" w:lastColumn="0" w:lastRow="0" w:noHBand="0" w:noVBand="1" w:val="04A0"/>
      </w:tblPr>
      <w:tblGrid>
        <w:gridCol w:w="1260"/>
        <w:gridCol w:w="1260"/>
        <w:gridCol w:w="1260"/>
        <w:gridCol w:w="1260"/>
        <w:gridCol w:w="1260"/>
        <w:gridCol w:w="1260"/>
        <w:gridCol w:w="1260"/>
        <w:gridCol w:w="1260"/>
      </w:tblGrid>
      <w:tr>
        <w:tc>
          <w:tcPr>
            <w:tcW w:type="dxa" w:w="1260"/>
            <w:shd w:fill="D9EAF7"/>
            <w:tcMar>
              <w:top w:w="70" w:type="dxa"/>
              <w:start w:w="60" w:type="dxa"/>
              <w:bottom w:w="70" w:type="dxa"/>
              <w:end w:w="60" w:type="dxa"/>
            </w:tcMar>
          </w:tcPr>
          <w:p>
            <w:r>
              <w:rPr>
                <w:b/>
              </w:rPr>
              <w:t>Focal task</w:t>
            </w:r>
          </w:p>
        </w:tc>
        <w:tc>
          <w:tcPr>
            <w:tcW w:type="dxa" w:w="1260"/>
            <w:shd w:fill="D9EAF7"/>
            <w:tcMar>
              <w:top w:w="70" w:type="dxa"/>
              <w:start w:w="60" w:type="dxa"/>
              <w:bottom w:w="70" w:type="dxa"/>
              <w:end w:w="60" w:type="dxa"/>
            </w:tcMar>
          </w:tcPr>
          <w:p>
            <w:r>
              <w:rPr>
                <w:b/>
              </w:rPr>
              <w:t>Context ID</w:t>
            </w:r>
          </w:p>
        </w:tc>
        <w:tc>
          <w:tcPr>
            <w:tcW w:type="dxa" w:w="1260"/>
            <w:shd w:fill="D9EAF7"/>
            <w:tcMar>
              <w:top w:w="70" w:type="dxa"/>
              <w:start w:w="60" w:type="dxa"/>
              <w:bottom w:w="70" w:type="dxa"/>
              <w:end w:w="60" w:type="dxa"/>
            </w:tcMar>
          </w:tcPr>
          <w:p>
            <w:r>
              <w:rPr>
                <w:b/>
              </w:rPr>
              <w:t>|S|</w:t>
            </w:r>
          </w:p>
        </w:tc>
        <w:tc>
          <w:tcPr>
            <w:tcW w:type="dxa" w:w="1260"/>
            <w:shd w:fill="D9EAF7"/>
            <w:tcMar>
              <w:top w:w="70" w:type="dxa"/>
              <w:start w:w="60" w:type="dxa"/>
              <w:bottom w:w="70" w:type="dxa"/>
              <w:end w:w="60" w:type="dxa"/>
            </w:tcMar>
          </w:tcPr>
          <w:p>
            <w:r>
              <w:rPr>
                <w:b/>
              </w:rPr>
              <w:t>Self features</w:t>
            </w:r>
          </w:p>
        </w:tc>
        <w:tc>
          <w:tcPr>
            <w:tcW w:type="dxa" w:w="1260"/>
            <w:shd w:fill="D9EAF7"/>
            <w:tcMar>
              <w:top w:w="70" w:type="dxa"/>
              <w:start w:w="60" w:type="dxa"/>
              <w:bottom w:w="70" w:type="dxa"/>
              <w:end w:w="60" w:type="dxa"/>
            </w:tcMar>
          </w:tcPr>
          <w:p>
            <w:r>
              <w:rPr>
                <w:b/>
              </w:rPr>
              <w:t>Interaction features</w:t>
            </w:r>
          </w:p>
        </w:tc>
        <w:tc>
          <w:tcPr>
            <w:tcW w:type="dxa" w:w="1260"/>
            <w:shd w:fill="D9EAF7"/>
            <w:tcMar>
              <w:top w:w="70" w:type="dxa"/>
              <w:start w:w="60" w:type="dxa"/>
              <w:bottom w:w="70" w:type="dxa"/>
              <w:end w:w="60" w:type="dxa"/>
            </w:tcMar>
          </w:tcPr>
          <w:p>
            <w:r>
              <w:rPr>
                <w:b/>
              </w:rPr>
              <w:t>Dscale</w:t>
            </w:r>
          </w:p>
        </w:tc>
        <w:tc>
          <w:tcPr>
            <w:tcW w:type="dxa" w:w="1260"/>
            <w:shd w:fill="D9EAF7"/>
            <w:tcMar>
              <w:top w:w="70" w:type="dxa"/>
              <w:start w:w="60" w:type="dxa"/>
              <w:bottom w:w="70" w:type="dxa"/>
              <w:end w:w="60" w:type="dxa"/>
            </w:tcMar>
          </w:tcPr>
          <w:p>
            <w:r>
              <w:rPr>
                <w:b/>
              </w:rPr>
              <w:t>Drank</w:t>
            </w:r>
          </w:p>
        </w:tc>
        <w:tc>
          <w:tcPr>
            <w:tcW w:type="dxa" w:w="1260"/>
            <w:shd w:fill="D9EAF7"/>
            <w:tcMar>
              <w:top w:w="70" w:type="dxa"/>
              <w:start w:w="60" w:type="dxa"/>
              <w:bottom w:w="70" w:type="dxa"/>
              <w:end w:w="60" w:type="dxa"/>
            </w:tcMar>
          </w:tcPr>
          <w:p>
            <w:r>
              <w:rPr>
                <w:b/>
              </w:rPr>
              <w:t>Ddensity</w:t>
            </w:r>
          </w:p>
        </w:tc>
      </w:tr>
      <w:tr>
        <w:tc>
          <w:tcPr>
            <w:tcW w:type="dxa" w:w="1260"/>
            <w:tcMar>
              <w:top w:w="70" w:type="dxa"/>
              <w:start w:w="60" w:type="dxa"/>
              <w:bottom w:w="70" w:type="dxa"/>
              <w:end w:w="60" w:type="dxa"/>
            </w:tcMar>
          </w:tcPr>
          <w:p>
            <w:r>
              <w:t>EuroSAT</w:t>
            </w:r>
          </w:p>
        </w:tc>
        <w:tc>
          <w:tcPr>
            <w:tcW w:type="dxa" w:w="1260"/>
            <w:tcMar>
              <w:top w:w="70" w:type="dxa"/>
              <w:start w:w="60" w:type="dxa"/>
              <w:bottom w:w="70" w:type="dxa"/>
              <w:end w:w="60" w:type="dxa"/>
            </w:tcMar>
          </w:tcPr>
          <w:p>
            <w:r>
              <w:t>ctx_004</w:t>
            </w:r>
          </w:p>
        </w:tc>
        <w:tc>
          <w:tcPr>
            <w:tcW w:type="dxa" w:w="1260"/>
            <w:tcMar>
              <w:top w:w="70" w:type="dxa"/>
              <w:start w:w="60" w:type="dxa"/>
              <w:bottom w:w="70" w:type="dxa"/>
              <w:end w:w="60" w:type="dxa"/>
            </w:tcMar>
          </w:tcPr>
          <w:p>
            <w:r>
              <w:t>4</w:t>
            </w:r>
          </w:p>
        </w:tc>
        <w:tc>
          <w:tcPr>
            <w:tcW w:type="dxa" w:w="1260"/>
            <w:tcMar>
              <w:top w:w="70" w:type="dxa"/>
              <w:start w:w="60" w:type="dxa"/>
              <w:bottom w:w="70" w:type="dxa"/>
              <w:end w:w="60" w:type="dxa"/>
            </w:tcMar>
          </w:tcPr>
          <w:p>
            <w:r>
              <w:t>…</w:t>
            </w:r>
          </w:p>
        </w:tc>
        <w:tc>
          <w:tcPr>
            <w:tcW w:type="dxa" w:w="1260"/>
            <w:tcMar>
              <w:top w:w="70" w:type="dxa"/>
              <w:start w:w="60" w:type="dxa"/>
              <w:bottom w:w="70" w:type="dxa"/>
              <w:end w:w="60" w:type="dxa"/>
            </w:tcMar>
          </w:tcPr>
          <w:p>
            <w:r>
              <w:t>…</w:t>
            </w:r>
          </w:p>
        </w:tc>
        <w:tc>
          <w:tcPr>
            <w:tcW w:type="dxa" w:w="1260"/>
            <w:tcMar>
              <w:top w:w="70" w:type="dxa"/>
              <w:start w:w="60" w:type="dxa"/>
              <w:bottom w:w="70" w:type="dxa"/>
              <w:end w:w="60" w:type="dxa"/>
            </w:tcMar>
          </w:tcPr>
          <w:p>
            <w:r>
              <w:t>…</w:t>
            </w:r>
          </w:p>
        </w:tc>
        <w:tc>
          <w:tcPr>
            <w:tcW w:type="dxa" w:w="1260"/>
            <w:tcMar>
              <w:top w:w="70" w:type="dxa"/>
              <w:start w:w="60" w:type="dxa"/>
              <w:bottom w:w="70" w:type="dxa"/>
              <w:end w:w="60" w:type="dxa"/>
            </w:tcMar>
          </w:tcPr>
          <w:p>
            <w:r>
              <w:t>…</w:t>
            </w:r>
          </w:p>
        </w:tc>
        <w:tc>
          <w:tcPr>
            <w:tcW w:type="dxa" w:w="1260"/>
            <w:tcMar>
              <w:top w:w="70" w:type="dxa"/>
              <w:start w:w="60" w:type="dxa"/>
              <w:bottom w:w="70" w:type="dxa"/>
              <w:end w:w="60" w:type="dxa"/>
            </w:tcMar>
          </w:tcPr>
          <w:p>
            <w:r>
              <w:t>…</w:t>
            </w:r>
          </w:p>
        </w:tc>
      </w:tr>
    </w:tbl>
    <w:p>
      <w:r>
        <w:t>Manifest phải cho phép truy ngược checkpoint hash, split, merge configuration, resource level và context membership.</w:t>
      </w:r>
    </w:p>
    <w:p>
      <w:pPr>
        <w:pStyle w:val="Heading1"/>
      </w:pPr>
      <w:r>
        <w:t>9. Phân tích bắt buộc</w:t>
      </w:r>
    </w:p>
    <w:p>
      <w:r>
        <w:rPr>
          <w:b/>
        </w:rPr>
        <w:t xml:space="preserve">Analysis 1 — Demand heterogeneity: </w:t>
      </w:r>
      <w:r>
        <w:t>Plot distribution demand theo task; báo variance giữa task và variance của cùng task qua context. Có thể dùng decomposition Dᵢ,S = μ + uᵢ + vS + ε. Nếu within-task/context variance áp đảo between-task variance, “task-demand prior” sẽ yếu.</w:t>
      </w:r>
    </w:p>
    <w:p>
      <w:r>
        <w:rPr>
          <w:b/>
        </w:rPr>
        <w:t xml:space="preserve">Analysis 2 — Cross-resource consistency: </w:t>
      </w:r>
      <w:r>
        <w:t>Tính Spearman giữa scale/rank/density demand. Làm cả global và within-context để tránh correlation giả do context size.</w:t>
      </w:r>
    </w:p>
    <w:p>
      <w:r>
        <w:rPr>
          <w:b/>
        </w:rPr>
        <w:t xml:space="preserve">Analysis 3 — Single-feature predictability: </w:t>
      </w:r>
      <w:r>
        <w:t>Với từng feature x, tính Spearman(x, Dscale/Drank/Ddensity), kèm bootstrap CI theo pair/context. Ưu tiên projection loss, top-k/total survival, spectral entropy, unique score, overlap.</w:t>
      </w:r>
    </w:p>
    <w:p>
      <w:r>
        <w:rPr>
          <w:b/>
        </w:rPr>
        <w:t xml:space="preserve">Analysis 4 — Composite estimator: </w:t>
      </w:r>
      <w:r>
        <w:t>Chỉ thực hiện nếu single-feature signal hợp lý. Bắt đầu bằng linear/ridge regression; random forest chỉ là secondary baseline. Không dùng neural network ở phase go/no-go.</w:t>
      </w:r>
    </w:p>
    <w:p>
      <w:pPr>
        <w:pStyle w:val="Heading1"/>
      </w:pPr>
      <w:r>
        <w:t>10. Evaluation Protocol và Data Split</w:t>
      </w:r>
    </w:p>
    <w:p>
      <w:r>
        <w:rPr>
          <w:b/>
        </w:rPr>
        <w:t xml:space="preserve">Không random split từng row. </w:t>
      </w:r>
      <w:r>
        <w:t>Cùng task/context ở train và test sẽ tạo leakage.</w:t>
      </w:r>
    </w:p>
    <w:p>
      <w:r>
        <w:rPr>
          <w:b/>
        </w:rPr>
        <w:t xml:space="preserve">Protocol A — Leave-one-task-out: </w:t>
      </w:r>
      <w:r>
        <w:t>Train trên 7 task, test trên task thứ 8; lặp 8 folds. Đây là test chính cho claim generalize sang unseen task.</w:t>
      </w:r>
    </w:p>
    <w:p>
      <w:r>
        <w:rPr>
          <w:b/>
        </w:rPr>
        <w:t xml:space="preserve">Protocol B — Leave-context-out: </w:t>
      </w:r>
      <w:r>
        <w:t>Train trên một nhóm context, test trên context chưa thấy; kiểm tra generalize sang unseen task combinations.</w:t>
      </w:r>
    </w:p>
    <w:p>
      <w:r>
        <w:rPr>
          <w:b/>
        </w:rPr>
        <w:t xml:space="preserve">Protocol C — Leave-task-and-context-out: </w:t>
      </w:r>
      <w:r>
        <w:t>Optional nếu data đủ; là test mạnh nhất nhưng không bắt buộc cho go/no-go phase.</w:t>
      </w:r>
    </w:p>
    <w:p>
      <w:pPr>
        <w:pStyle w:val="Heading1"/>
      </w:pPr>
      <w:r>
        <w:t>11. Metrics</w:t>
      </w:r>
    </w:p>
    <w:p>
      <w:r>
        <w:t>Primary metric: Spearman rank correlation giữa predicted demand và oracle demand.</w:t>
      </w:r>
    </w:p>
    <w:p>
      <w:pPr>
        <w:spacing w:before="60" w:after="100"/>
        <w:jc w:val="center"/>
      </w:pPr>
      <w:r>
        <w:rPr>
          <w:rFonts w:ascii="Cambria Math" w:hAnsi="Cambria Math"/>
          <w:sz w:val="21"/>
        </w:rPr>
        <w:t>ρ(D̂, Dᵒʳᵃᶜˡᵉ)</w:t>
      </w:r>
    </w:p>
    <w:p>
      <w:r>
        <w:t>Secondary metrics: Pearson correlation, MAE trên normalized demand và pairwise ordering accuracy.</w:t>
      </w:r>
    </w:p>
    <w:p>
      <w:pPr>
        <w:spacing w:before="60" w:after="100"/>
        <w:jc w:val="center"/>
      </w:pPr>
      <w:r>
        <w:rPr>
          <w:rFonts w:ascii="Cambria Math" w:hAnsi="Cambria Math"/>
          <w:sz w:val="21"/>
        </w:rPr>
        <w:t>1[ sign(D̂ᵢ − D̂ⱼ) = sign(Dᵢ − Dⱼ) ]</w:t>
      </w:r>
    </w:p>
    <w:p>
      <w:r>
        <w:t>Ordering accuracy dễ diễn giải: estimator chọn đúng task nào cần nhiều resource hơn trong bao nhiêu phần trăm cặp so sánh.</w:t>
      </w:r>
    </w:p>
    <w:p>
      <w:pPr>
        <w:pStyle w:val="Heading1"/>
      </w:pPr>
      <w:r>
        <w:t>12. Baselines</w:t>
      </w:r>
    </w:p>
    <w:p>
      <w:pPr>
        <w:pStyle w:val="ListBullet"/>
        <w:spacing w:after="40"/>
      </w:pPr>
      <w:r>
        <w:t>Constant demand: D̂ᵢ = 1</w:t>
      </w:r>
    </w:p>
    <w:p>
      <w:pPr>
        <w:pStyle w:val="ListBullet"/>
        <w:spacing w:after="40"/>
      </w:pPr>
      <w:r>
        <w:t>LoRA Frobenius norm only</w:t>
      </w:r>
    </w:p>
    <w:p>
      <w:pPr>
        <w:pStyle w:val="ListBullet"/>
        <w:spacing w:after="40"/>
      </w:pPr>
      <w:r>
        <w:t>Spectral entropy only</w:t>
      </w:r>
    </w:p>
    <w:p>
      <w:pPr>
        <w:pStyle w:val="ListBullet"/>
        <w:spacing w:after="40"/>
      </w:pPr>
      <w:r>
        <w:t>Effective rank only</w:t>
      </w:r>
    </w:p>
    <w:p>
      <w:pPr>
        <w:pStyle w:val="ListBullet"/>
        <w:spacing w:after="40"/>
      </w:pPr>
      <w:r>
        <w:t>Projection loss only</w:t>
      </w:r>
    </w:p>
    <w:p>
      <w:pPr>
        <w:pStyle w:val="ListBullet"/>
        <w:spacing w:after="40"/>
      </w:pPr>
      <w:r>
        <w:t>Context overlap only</w:t>
      </w:r>
    </w:p>
    <w:p>
      <w:r>
        <w:t>Proposed estimator nên được xem là có giá trị khi vượt không chỉ constant baseline mà còn vượt các heuristic cấu trúc đơn giản ở unseen-task evaluation.</w:t>
      </w:r>
    </w:p>
    <w:p>
      <w:pPr>
        <w:pStyle w:val="Heading1"/>
      </w:pPr>
      <w:r>
        <w:t>13. Go / No-Go Criteria</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rPr>
              <w:t>Mức</w:t>
            </w:r>
          </w:p>
        </w:tc>
        <w:tc>
          <w:tcPr>
            <w:tcW w:type="dxa" w:w="3360"/>
            <w:shd w:fill="D9EAF7"/>
          </w:tcPr>
          <w:p>
            <w:r>
              <w:rPr>
                <w:b/>
              </w:rPr>
              <w:t>Điều kiện</w:t>
            </w:r>
          </w:p>
        </w:tc>
        <w:tc>
          <w:tcPr>
            <w:tcW w:type="dxa" w:w="3360"/>
            <w:shd w:fill="D9EAF7"/>
          </w:tcPr>
          <w:p>
            <w:r>
              <w:rPr>
                <w:b/>
              </w:rPr>
              <w:t>Hướng tiếp theo</w:t>
            </w:r>
          </w:p>
        </w:tc>
      </w:tr>
      <w:tr>
        <w:tc>
          <w:tcPr>
            <w:tcW w:type="dxa" w:w="3360"/>
            <w:tcMar>
              <w:top w:w="90" w:type="dxa"/>
              <w:start w:w="100" w:type="dxa"/>
              <w:bottom w:w="90" w:type="dxa"/>
              <w:end w:w="100" w:type="dxa"/>
            </w:tcMar>
            <w:shd w:fill="E2F0D9"/>
          </w:tcPr>
          <w:p>
            <w:r>
              <w:t>Strong Go</w:t>
            </w:r>
          </w:p>
        </w:tc>
        <w:tc>
          <w:tcPr>
            <w:tcW w:type="dxa" w:w="3360"/>
            <w:tcMar>
              <w:top w:w="90" w:type="dxa"/>
              <w:start w:w="100" w:type="dxa"/>
              <w:bottom w:w="90" w:type="dxa"/>
              <w:end w:w="100" w:type="dxa"/>
            </w:tcMar>
          </w:tcPr>
          <w:p>
            <w:r>
              <w:t>Có cross-resource consistency rõ và estimator giữ được correlation ổn định trên leave-one-task-out; khoảng Spearman 0.5+ là tín hiệu rất đáng đào sâu, nhưng không dùng như ngưỡng tuyệt đối.</w:t>
            </w:r>
          </w:p>
        </w:tc>
        <w:tc>
          <w:tcPr>
            <w:tcW w:type="dxa" w:w="3360"/>
            <w:tcMar>
              <w:top w:w="90" w:type="dxa"/>
              <w:start w:w="100" w:type="dxa"/>
              <w:bottom w:w="90" w:type="dxa"/>
              <w:end w:w="100" w:type="dxa"/>
            </w:tcMar>
          </w:tcPr>
          <w:p>
            <w:r>
              <w:t>Xây demand-aware allocator và fixed-budget evaluation.</w:t>
            </w:r>
          </w:p>
        </w:tc>
      </w:tr>
      <w:tr>
        <w:tc>
          <w:tcPr>
            <w:tcW w:type="dxa" w:w="3360"/>
            <w:tcMar>
              <w:top w:w="90" w:type="dxa"/>
              <w:start w:w="100" w:type="dxa"/>
              <w:bottom w:w="90" w:type="dxa"/>
              <w:end w:w="100" w:type="dxa"/>
            </w:tcMar>
            <w:shd w:fill="FFF2CC"/>
          </w:tcPr>
          <w:p>
            <w:r>
              <w:t>Weak Go</w:t>
            </w:r>
          </w:p>
        </w:tc>
        <w:tc>
          <w:tcPr>
            <w:tcW w:type="dxa" w:w="3360"/>
            <w:tcMar>
              <w:top w:w="90" w:type="dxa"/>
              <w:start w:w="100" w:type="dxa"/>
              <w:bottom w:w="90" w:type="dxa"/>
              <w:end w:w="100" w:type="dxa"/>
            </w:tcMar>
          </w:tcPr>
          <w:p>
            <w:r>
              <w:t>Estimator dự đoán tốt một hoặc hai resource demand nhưng không có universal scalar demand.</w:t>
            </w:r>
          </w:p>
        </w:tc>
        <w:tc>
          <w:tcPr>
            <w:tcW w:type="dxa" w:w="3360"/>
            <w:tcMar>
              <w:top w:w="90" w:type="dxa"/>
              <w:start w:w="100" w:type="dxa"/>
              <w:bottom w:w="90" w:type="dxa"/>
              <w:end w:w="100" w:type="dxa"/>
            </w:tcMar>
          </w:tcPr>
          <w:p>
            <w:r>
              <w:t>Framing thành resource-specific hoặc multidimensional merge demand.</w:t>
            </w:r>
          </w:p>
        </w:tc>
      </w:tr>
      <w:tr>
        <w:tc>
          <w:tcPr>
            <w:tcW w:type="dxa" w:w="3360"/>
            <w:tcMar>
              <w:top w:w="90" w:type="dxa"/>
              <w:start w:w="100" w:type="dxa"/>
              <w:bottom w:w="90" w:type="dxa"/>
              <w:end w:w="100" w:type="dxa"/>
            </w:tcMar>
            <w:shd w:fill="FCE4D6"/>
          </w:tcPr>
          <w:p>
            <w:r>
              <w:t>No-Go cho scalar demand</w:t>
            </w:r>
          </w:p>
        </w:tc>
        <w:tc>
          <w:tcPr>
            <w:tcW w:type="dxa" w:w="3360"/>
            <w:tcMar>
              <w:top w:w="90" w:type="dxa"/>
              <w:start w:w="100" w:type="dxa"/>
              <w:bottom w:w="90" w:type="dxa"/>
              <w:end w:w="100" w:type="dxa"/>
            </w:tcMar>
          </w:tcPr>
          <w:p>
            <w:r>
              <w:t>Scale/rank/density demand gần như không correlate và structural features không generalize.</w:t>
            </w:r>
          </w:p>
        </w:tc>
        <w:tc>
          <w:tcPr>
            <w:tcW w:type="dxa" w:w="3360"/>
            <w:tcMar>
              <w:top w:w="90" w:type="dxa"/>
              <w:start w:w="100" w:type="dxa"/>
              <w:bottom w:w="90" w:type="dxa"/>
              <w:end w:w="100" w:type="dxa"/>
            </w:tcMar>
          </w:tcPr>
          <w:p>
            <w:r>
              <w:t>Không claim scalar task demand; chuyển sang context-specific sensitivity hoặc multidimensional demand.</w:t>
            </w:r>
          </w:p>
        </w:tc>
      </w:tr>
    </w:tbl>
    <w:p>
      <w:pPr>
        <w:pStyle w:val="Heading1"/>
      </w:pPr>
      <w:r>
        <w:t>14. Không được làm</w:t>
      </w:r>
    </w:p>
    <w:p>
      <w:pPr>
        <w:pStyle w:val="ListBullet"/>
        <w:spacing w:after="40"/>
      </w:pPr>
      <w:r>
        <w:t>Tune estimator trên final test.</w:t>
      </w:r>
    </w:p>
    <w:p>
      <w:pPr>
        <w:pStyle w:val="ListBullet"/>
        <w:spacing w:after="40"/>
      </w:pPr>
      <w:r>
        <w:t>Chọn feature dựa trên final-test performance.</w:t>
      </w:r>
    </w:p>
    <w:p>
      <w:pPr>
        <w:pStyle w:val="ListBullet"/>
        <w:spacing w:after="40"/>
      </w:pPr>
      <w:r>
        <w:t>Dùng merged accuracy để tạo “pre-evaluation” feature.</w:t>
      </w:r>
    </w:p>
    <w:p>
      <w:pPr>
        <w:pStyle w:val="ListBullet"/>
        <w:spacing w:after="40"/>
      </w:pPr>
      <w:r>
        <w:t>Report train-set correlation như evidence chính.</w:t>
      </w:r>
    </w:p>
    <w:p>
      <w:pPr>
        <w:pStyle w:val="ListBullet"/>
        <w:spacing w:after="40"/>
      </w:pPr>
      <w:r>
        <w:t>Random split rows khi cùng task/context có thể xuất hiện ở train và test.</w:t>
      </w:r>
    </w:p>
    <w:p>
      <w:pPr>
        <w:pStyle w:val="ListBullet"/>
        <w:spacing w:after="40"/>
      </w:pPr>
      <w:r>
        <w:t>Chọn oracle definition sau khi nhìn estimator nào correlate tốt nhất mà không báo đầy đủ các definition đã thử.</w:t>
      </w:r>
    </w:p>
    <w:p>
      <w:pPr>
        <w:pStyle w:val="ListBullet"/>
        <w:spacing w:after="40"/>
      </w:pPr>
      <w:r>
        <w:t>Gọi demand là “intrinsic” nếu context variance lớn.</w:t>
      </w:r>
    </w:p>
    <w:p>
      <w:pPr>
        <w:pStyle w:val="Heading1"/>
      </w:pPr>
      <w:r>
        <w:t>15. Deliverables bắt buộc</w:t>
      </w:r>
    </w:p>
    <w:p>
      <w:pPr>
        <w:pStyle w:val="ListNumber"/>
        <w:spacing w:after="40"/>
      </w:pPr>
      <w:r>
        <w:t>Manifest: mỗi merge configuration/context có unique ID; khóa trước final analysis.</w:t>
      </w:r>
    </w:p>
    <w:p>
      <w:pPr>
        <w:pStyle w:val="ListNumber"/>
        <w:spacing w:after="40"/>
      </w:pPr>
      <w:r>
        <w:t>Oracle demand table: CSV chứa Dscale, Drank, Ddensity và metadata.</w:t>
      </w:r>
    </w:p>
    <w:p>
      <w:pPr>
        <w:pStyle w:val="ListNumber"/>
        <w:spacing w:after="40"/>
      </w:pPr>
      <w:r>
        <w:t>Structural feature table: một row cho mỗi (task, context).</w:t>
      </w:r>
    </w:p>
    <w:p>
      <w:pPr>
        <w:pStyle w:val="ListNumber"/>
        <w:spacing w:after="40"/>
      </w:pPr>
      <w:r>
        <w:t>Correlation matrix: oracle demands × structural features.</w:t>
      </w:r>
    </w:p>
    <w:p>
      <w:pPr>
        <w:pStyle w:val="ListNumber"/>
        <w:spacing w:after="40"/>
      </w:pPr>
      <w:r>
        <w:t>Leave-one-task-out results: per fold và aggregate.</w:t>
      </w:r>
    </w:p>
    <w:p>
      <w:pPr>
        <w:pStyle w:val="ListNumber"/>
        <w:spacing w:after="40"/>
      </w:pPr>
      <w:r>
        <w:t>Figures: task-wise demand heatmap; cross-resource scatter; predicted vs oracle; leave-one-task-out result; context variation của cùng task.</w:t>
      </w:r>
    </w:p>
    <w:p>
      <w:pPr>
        <w:pStyle w:val="ListNumber"/>
        <w:spacing w:after="40"/>
      </w:pPr>
      <w:r>
        <w:t>Short report trả lời bốn câu: demand có heterogeneous không? context-dependent không? các resource có reveal cùng structure không? demand có predict được trên unseen tasks không?</w:t>
      </w:r>
    </w:p>
    <w:p>
      <w:pPr>
        <w:pStyle w:val="Heading1"/>
      </w:pPr>
      <w:r>
        <w:t>16. Logic quyết định sau thí nghiệm</w:t>
      </w:r>
    </w:p>
    <w:p>
      <w:pPr>
        <w:spacing w:before="60" w:after="100"/>
        <w:jc w:val="center"/>
      </w:pPr>
      <w:r>
        <w:rPr>
          <w:rFonts w:ascii="Cambria Math" w:hAnsi="Cambria Math"/>
          <w:sz w:val="21"/>
        </w:rPr>
        <w:t>Resource sweeps → Dᵢᵒʳᵃᶜˡᵉ(S)</w:t>
      </w:r>
    </w:p>
    <w:p>
      <w:pPr>
        <w:spacing w:before="60" w:after="100"/>
        <w:jc w:val="center"/>
      </w:pPr>
      <w:r>
        <w:rPr>
          <w:rFonts w:ascii="Cambria Math" w:hAnsi="Cambria Math"/>
          <w:sz w:val="21"/>
        </w:rPr>
        <w:t>Task-vector / context geometry → xᵢ(S) → D̂ᵢ(S)</w:t>
      </w:r>
    </w:p>
    <w:p>
      <w:r>
        <w:t>Research question vượt qua go/no-go test nếu predicted demand generalize sang unseen task/context và có quan hệ ổn định với oracle demand. Khi đó bước tiếp theo là:</w:t>
      </w:r>
    </w:p>
    <w:p>
      <w:pPr>
        <w:spacing w:before="60" w:after="100"/>
        <w:jc w:val="center"/>
      </w:pPr>
      <w:r>
        <w:rPr>
          <w:rFonts w:ascii="Cambria Math" w:hAnsi="Cambria Math"/>
          <w:sz w:val="21"/>
        </w:rPr>
        <w:t>D̂ᵢ(S) → resource allocation → Demand-aware DC-Merge</w:t>
      </w:r>
    </w:p>
    <w:p>
      <w:pPr>
        <w:pStyle w:val="Callout"/>
      </w:pPr>
      <w:r>
        <w:t>Ưu tiên một structural signal đơn giản nhưng generalize tốt hơn một predictor phức tạp. Một tổ hợp như projection loss + spectral entropy + context overlap mà dự đoán được demand trên unseen tasks sẽ là kết quả rất mạnh cho paper.</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E6E6E"/>
        <w:sz w:val="16"/>
      </w:rPr>
      <w:t>Pre-Evaluation Task Merge Demand — Go/No-Go Study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46464"/>
        <w:sz w:val="16"/>
      </w:rPr>
      <w:t>DC-Merge Research | Experiment Card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Aptos Display" w:hAnsi="Aptos Display"/>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100" w:after="60"/>
      <w:outlineLvl w:val="1"/>
    </w:pPr>
    <w:rPr>
      <w:rFonts w:asciiTheme="majorHAnsi" w:eastAsiaTheme="majorEastAsia" w:hAnsiTheme="majorHAnsi" w:cstheme="majorBidi" w:ascii="Aptos Display" w:hAnsi="Aptos Display"/>
      <w:b/>
      <w:bCs/>
      <w:color w:val="365F91"/>
      <w:sz w:val="23"/>
      <w:szCs w:val="26"/>
    </w:rPr>
  </w:style>
  <w:style w:type="paragraph" w:styleId="Heading3">
    <w:name w:val="heading 3"/>
    <w:basedOn w:val="Normal"/>
    <w:next w:val="Normal"/>
    <w:link w:val="Heading3Char"/>
    <w:uiPriority w:val="9"/>
    <w:unhideWhenUsed/>
    <w:qFormat/>
    <w:rsid w:val="00FC693F"/>
    <w:pPr>
      <w:keepNext/>
      <w:keepLines/>
      <w:spacing w:before="100" w:after="60"/>
      <w:outlineLvl w:val="2"/>
    </w:pPr>
    <w:rPr>
      <w:rFonts w:asciiTheme="majorHAnsi" w:eastAsiaTheme="majorEastAsia" w:hAnsiTheme="majorHAnsi" w:cstheme="majorBidi" w:ascii="Aptos" w:hAnsi="Aptos"/>
      <w:b/>
      <w:bCs/>
      <w:color w:val="48484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60" w:line="240" w:lineRule="auto" w:before="100"/>
      <w:contextualSpacing/>
    </w:pPr>
    <w:rPr>
      <w:rFonts w:asciiTheme="majorHAnsi" w:eastAsiaTheme="majorEastAsia" w:hAnsiTheme="majorHAnsi" w:cstheme="majorBidi" w:ascii="Aptos Display" w:hAnsi="Aptos Display"/>
      <w:b/>
      <w:color w:val="1F3A59"/>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80" w:after="100"/>
      <w:ind w:left="259" w:right="259"/>
    </w:pPr>
    <w:rPr>
      <w:rFonts w:ascii="Aptos" w:hAnsi="Aptos"/>
      <w:i/>
      <w:color w:val="464646"/>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