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Default="007F3AEC" w:rsidP="00887BC0">
      <w:pPr>
        <w:pStyle w:val="Titel"/>
        <w:rPr>
          <w:lang w:val="en-GB"/>
        </w:rPr>
      </w:pPr>
      <w:r w:rsidRPr="000B36B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&#13;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14A96" w14:textId="2FF3DFE6" w:rsidR="007F3AEC" w:rsidRDefault="007F3AEC" w:rsidP="007F3AEC">
      <w:pPr>
        <w:pStyle w:val="Titel"/>
        <w:rPr>
          <w:lang w:val="en-US"/>
        </w:rPr>
      </w:pPr>
      <w:r w:rsidRPr="000B36BC">
        <w:rPr>
          <w:lang w:val="en-US"/>
        </w:rPr>
        <w:t>Exercises</w:t>
      </w:r>
      <w:r>
        <w:rPr>
          <w:lang w:val="en-US"/>
        </w:rPr>
        <w:t xml:space="preserve"> – Microsimulation models  </w:t>
      </w:r>
    </w:p>
    <w:p w14:paraId="1EE5504B" w14:textId="77777777" w:rsidR="003F5BF1" w:rsidRPr="007F3AEC" w:rsidRDefault="003F5BF1" w:rsidP="007F3AEC"/>
    <w:p w14:paraId="7F89C5CB" w14:textId="77777777" w:rsidR="00B60F0B" w:rsidRDefault="00B60F0B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6375FC59" w14:textId="2688A88C" w:rsidR="00133EC8" w:rsidRDefault="007F3AEC" w:rsidP="007F3AEC">
      <w:pPr>
        <w:pStyle w:val="Titel"/>
        <w:rPr>
          <w:lang w:val="en-US"/>
        </w:rPr>
      </w:pPr>
      <w:r w:rsidRPr="000B36BC">
        <w:rPr>
          <w:lang w:val="en-US"/>
        </w:rPr>
        <w:t>Decision Analysis in R for Technologies in Health</w:t>
      </w:r>
    </w:p>
    <w:p w14:paraId="63B6D222" w14:textId="77777777" w:rsidR="000E3D26" w:rsidRPr="000E3D26" w:rsidRDefault="000E3D26" w:rsidP="000E3D26">
      <w:pPr>
        <w:rPr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0E3D26" w:rsidRPr="00DE2D6C" w14:paraId="21D32548" w14:textId="77777777" w:rsidTr="00FE0EFB">
        <w:tc>
          <w:tcPr>
            <w:tcW w:w="4428" w:type="dxa"/>
            <w:shd w:val="clear" w:color="auto" w:fill="009999"/>
          </w:tcPr>
          <w:p w14:paraId="45D8653C" w14:textId="77777777" w:rsidR="000E3D26" w:rsidRPr="00DE2D6C" w:rsidRDefault="000E3D26" w:rsidP="00FE0EFB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19B07708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0E3D26" w:rsidRPr="00DE2D6C" w14:paraId="28417CAD" w14:textId="77777777" w:rsidTr="00FE0EFB">
        <w:tc>
          <w:tcPr>
            <w:tcW w:w="4428" w:type="dxa"/>
            <w:shd w:val="clear" w:color="auto" w:fill="F0ECE8"/>
          </w:tcPr>
          <w:p w14:paraId="3C49F78D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Fernando Alarid-Escudero,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CAA9F21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38A7BD0F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3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,</w:t>
            </w:r>
            <w:r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4</w:t>
            </w:r>
          </w:p>
          <w:p w14:paraId="160CBCE5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Hawre J. Jalal, MD, PhD</w:t>
            </w:r>
            <w:r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5</w:t>
            </w:r>
          </w:p>
          <w:p w14:paraId="01B76BDF" w14:textId="77777777" w:rsidR="000E3D26" w:rsidRPr="00DE2D6C" w:rsidRDefault="000E3D26" w:rsidP="00FE0EFB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Eline M. Krijkamp, MSc</w:t>
            </w:r>
            <w:r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3</w:t>
            </w:r>
            <w:r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ab/>
            </w:r>
          </w:p>
          <w:p w14:paraId="74B1F2D8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Petros Pechlivanoglou, PhD</w:t>
            </w:r>
            <w:r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6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69BE4872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43EE379F" w14:textId="77777777" w:rsidR="000E3D26" w:rsidRPr="00DE2D6C" w:rsidRDefault="000E3D26" w:rsidP="00FE0EFB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24D8B26B" w14:textId="77777777" w:rsidR="000E3D26" w:rsidRPr="00DE2D6C" w:rsidRDefault="000E3D26" w:rsidP="00FE0EFB">
            <w:pPr>
              <w:pStyle w:val="Citaat"/>
              <w:rPr>
                <w:lang w:val="en-US"/>
              </w:rPr>
            </w:pPr>
            <w:r w:rsidRPr="00DE2D6C">
              <w:rPr>
                <w:lang w:val="en-US"/>
              </w:rPr>
              <w:t xml:space="preserve"> </w:t>
            </w:r>
          </w:p>
        </w:tc>
      </w:tr>
    </w:tbl>
    <w:p w14:paraId="7358CF76" w14:textId="77777777" w:rsidR="000E3D26" w:rsidRPr="00133EC8" w:rsidRDefault="000E3D26" w:rsidP="000E3D26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311BE12C" w14:textId="77777777" w:rsidR="000E3D26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Acknowledgements and attribution.</w:t>
      </w:r>
    </w:p>
    <w:p w14:paraId="159A1FD7" w14:textId="77777777" w:rsidR="000E3D26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Please cite the following papers when using any of the material:</w:t>
      </w:r>
    </w:p>
    <w:p w14:paraId="54C44030" w14:textId="77777777" w:rsidR="000E3D26" w:rsidRPr="00331262" w:rsidRDefault="000E3D26" w:rsidP="000E3D26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Jalal H, et al. An Overview of R in Health Decision Sciences. </w:t>
        </w:r>
        <w:r w:rsidRPr="00331262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2017; 37(3):</w:t>
        </w:r>
        <w:r w:rsidRPr="00473D88">
          <w:rPr>
            <w:rFonts w:asciiTheme="majorHAnsi" w:hAnsiTheme="majorHAnsi"/>
            <w:color w:val="009999"/>
            <w:sz w:val="18"/>
            <w:szCs w:val="20"/>
            <w:lang w:val="en-CA"/>
          </w:rPr>
          <w:t xml:space="preserve"> </w:t>
        </w:r>
        <w:r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07DF5D6A" w14:textId="77777777" w:rsidR="000E3D26" w:rsidRPr="00331262" w:rsidRDefault="000E3D26" w:rsidP="000E3D26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331262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1F0F552C" w14:textId="77777777" w:rsidR="000E3D26" w:rsidRPr="00331262" w:rsidRDefault="000E3D26" w:rsidP="000E3D26">
      <w:pPr>
        <w:pStyle w:val="Norma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331262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2A432C29" w14:textId="77777777" w:rsidR="000E3D26" w:rsidRDefault="000E3D26" w:rsidP="000E3D26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6E01FD0E" w14:textId="77777777" w:rsidR="000E3D26" w:rsidRPr="00EA1325" w:rsidRDefault="000E3D26" w:rsidP="000E3D26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5D55EBF5" w14:textId="77777777" w:rsidR="000E3D26" w:rsidRPr="00EA3BDD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</w:p>
    <w:p w14:paraId="444A092B" w14:textId="77777777" w:rsidR="000E3D26" w:rsidRPr="000773D4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1</w:t>
      </w:r>
      <w:r w:rsidRPr="000773D4">
        <w:rPr>
          <w:rFonts w:ascii="Verdana" w:eastAsia="Times New Roman" w:hAnsi="Verdana"/>
          <w:bCs/>
          <w:sz w:val="18"/>
          <w:lang w:val="en-US"/>
        </w:rPr>
        <w:t xml:space="preserve"> Center for Research and Teaching in Economics (CIDE), Drug Policy Program </w:t>
      </w:r>
    </w:p>
    <w:p w14:paraId="674E976D" w14:textId="77777777" w:rsidR="000E3D26" w:rsidRPr="00EA3BDD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4D142483" w14:textId="77777777" w:rsidR="000E3D26" w:rsidRPr="00EA3BDD" w:rsidRDefault="000E3D26" w:rsidP="000E3D26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3 </w:t>
      </w:r>
      <w:r w:rsidRPr="00EA3BDD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18C98F5B" w14:textId="77777777" w:rsidR="000E3D26" w:rsidRPr="00EA3BDD" w:rsidRDefault="000E3D26" w:rsidP="000E3D26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4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078D60C4" w14:textId="77777777" w:rsidR="000E3D26" w:rsidRPr="00EA3BDD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5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55C5F659" w14:textId="77777777" w:rsidR="000E3D26" w:rsidRDefault="000E3D26" w:rsidP="000E3D26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6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69EAD661" w14:textId="659313AE" w:rsidR="00BD1BBC" w:rsidRPr="009A3C63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A3BDD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9A3C63" w:rsidRDefault="0015264F" w:rsidP="00133EC8">
      <w:pPr>
        <w:pStyle w:val="Koptekst"/>
        <w:ind w:left="720"/>
        <w:rPr>
          <w:rFonts w:ascii="Verdana" w:hAnsi="Verdana"/>
          <w:lang w:val="en-GB"/>
        </w:rPr>
      </w:pPr>
      <w:r w:rsidRPr="00EA3BDD">
        <w:rPr>
          <w:rFonts w:ascii="Verdana" w:hAnsi="Verdana"/>
          <w:lang w:val="en-GB"/>
        </w:rPr>
        <w:t xml:space="preserve">  </w:t>
      </w:r>
    </w:p>
    <w:p w14:paraId="0AFC291C" w14:textId="77777777" w:rsidR="00CF4238" w:rsidRDefault="00CF4238" w:rsidP="00736BB4">
      <w:pPr>
        <w:tabs>
          <w:tab w:val="left" w:pos="2410"/>
        </w:tabs>
        <w:spacing w:after="0"/>
        <w:rPr>
          <w:rFonts w:ascii="Verdana" w:hAnsi="Verdana"/>
          <w:lang w:val="en-GB"/>
        </w:rPr>
      </w:pPr>
    </w:p>
    <w:p w14:paraId="56AA0FE5" w14:textId="2BA201AE" w:rsidR="00EA1325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9A3C63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9A3C63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A94E29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473D88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DE2D6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A3BDD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DE2D6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Microsimulation</w:t>
            </w:r>
          </w:p>
        </w:tc>
      </w:tr>
      <w:tr w:rsidR="00AD3392" w:rsidRPr="00A94E29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473D88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digest the R code presented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about microsimulation</w:t>
            </w:r>
          </w:p>
          <w:p w14:paraId="043E6F35" w14:textId="77777777" w:rsidR="00CF4238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be able to build a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microsimulation model</w:t>
            </w:r>
          </w:p>
          <w:p w14:paraId="6B10FCBE" w14:textId="241F2A1C" w:rsidR="00AC3FB2" w:rsidRPr="00473D88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>
              <w:rPr>
                <w:rFonts w:ascii="Verdana" w:hAnsi="Verdana"/>
                <w:color w:val="808080"/>
                <w:lang w:val="en-CA"/>
              </w:rPr>
              <w:t xml:space="preserve">Adding memory and baseline characteristics </w:t>
            </w:r>
          </w:p>
        </w:tc>
      </w:tr>
      <w:tr w:rsidR="00AD3392" w:rsidRPr="00EA3BDD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3372E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>
              <w:rPr>
                <w:rFonts w:ascii="Verdana" w:hAnsi="Verdana"/>
                <w:color w:val="808080"/>
              </w:rPr>
              <w:t>Microsimulation, 4</w:t>
            </w:r>
            <w:r w:rsidR="00CF4238" w:rsidRPr="00DE2D6C">
              <w:rPr>
                <w:rFonts w:ascii="Verdana" w:hAnsi="Verdana"/>
                <w:color w:val="808080"/>
              </w:rPr>
              <w:t xml:space="preserve"> alternatives, </w:t>
            </w:r>
            <w:r w:rsidR="00E3372E" w:rsidRPr="00E3372E">
              <w:rPr>
                <w:rFonts w:ascii="Verdana" w:hAnsi="Verdana"/>
                <w:color w:val="808080"/>
                <w:lang w:val="en-GB"/>
              </w:rPr>
              <w:t xml:space="preserve">cost-effectiveness </w:t>
            </w:r>
          </w:p>
        </w:tc>
      </w:tr>
      <w:tr w:rsidR="00AD3392" w:rsidRPr="00EA3BDD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DE2D6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40</w:t>
            </w:r>
            <w:r w:rsidR="00755287" w:rsidRPr="00DE2D6C">
              <w:rPr>
                <w:rFonts w:ascii="Verdana" w:hAnsi="Verdana"/>
                <w:color w:val="808080"/>
              </w:rPr>
              <w:t xml:space="preserve"> minutes</w:t>
            </w:r>
          </w:p>
        </w:tc>
      </w:tr>
      <w:tr w:rsidR="00AD3392" w:rsidRPr="00A94E29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321895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>Exerc</w:t>
            </w:r>
            <w:r>
              <w:rPr>
                <w:rFonts w:ascii="Verdana" w:hAnsi="Verdana"/>
                <w:color w:val="808080"/>
                <w:lang w:val="en-CA"/>
              </w:rPr>
              <w:t>ise</w:t>
            </w:r>
            <w:r w:rsidR="00CF4238" w:rsidRPr="00473D88">
              <w:rPr>
                <w:rFonts w:ascii="Verdana" w:hAnsi="Verdana"/>
                <w:color w:val="808080"/>
                <w:lang w:val="en-CA"/>
              </w:rPr>
              <w:t xml:space="preserve"> instruction, R, R-studio</w:t>
            </w:r>
          </w:p>
        </w:tc>
      </w:tr>
    </w:tbl>
    <w:p w14:paraId="0C4D6300" w14:textId="77777777" w:rsidR="00B60F0B" w:rsidRPr="00DE2D6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Default="00B60F0B" w:rsidP="00C76E28">
      <w:pPr>
        <w:pStyle w:val="Kop3"/>
        <w:rPr>
          <w:lang w:val="en-US"/>
        </w:rPr>
      </w:pPr>
      <w:r w:rsidRPr="00DE2D6C">
        <w:rPr>
          <w:lang w:val="en-US"/>
        </w:rPr>
        <w:t xml:space="preserve">Exercise I: A </w:t>
      </w:r>
      <w:r w:rsidR="00317DD0">
        <w:rPr>
          <w:lang w:val="en-US"/>
        </w:rPr>
        <w:t>Microsimulation model</w:t>
      </w:r>
      <w:r w:rsidR="0027223A">
        <w:rPr>
          <w:lang w:val="en-US"/>
        </w:rPr>
        <w:t xml:space="preserve"> – The Sick</w:t>
      </w:r>
      <w:r w:rsidR="00EC57FE">
        <w:rPr>
          <w:lang w:val="en-US"/>
        </w:rPr>
        <w:t>-</w:t>
      </w:r>
      <w:r w:rsidR="0027223A">
        <w:rPr>
          <w:lang w:val="en-US"/>
        </w:rPr>
        <w:t>Sicker model</w:t>
      </w:r>
    </w:p>
    <w:p w14:paraId="7523DF8F" w14:textId="77777777" w:rsid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Markov model using four health states (Figure): Healthy (H); two disease states, Sick (S1) and Sicker (S2); and Dead (D). </w:t>
      </w:r>
    </w:p>
    <w:p w14:paraId="2A6C9708" w14:textId="09B1196F" w:rsidR="0000024B" w:rsidRPr="0000024B" w:rsidRDefault="009475D6" w:rsidP="0000024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</w:t>
      </w:r>
      <w:r w:rsidR="0000024B" w:rsidRPr="0000024B">
        <w:rPr>
          <w:rFonts w:ascii="Verdana" w:hAnsi="Verdana"/>
          <w:lang w:val="en-US"/>
        </w:rPr>
        <w:t>wo of the advantages of using a microsimulation implementation, which are to incorporate i) ‘memory’ into the disease dynamics and ii) variation in the baseline characteristics for every individual. To illustrate this, we extend the Sick-Sicker microsimulation model to include memory effects and patient heterogeneity at baseline.</w:t>
      </w:r>
      <w:r w:rsidR="0000024B">
        <w:rPr>
          <w:rFonts w:ascii="Verdana" w:hAnsi="Verdana"/>
          <w:lang w:val="en-US"/>
        </w:rPr>
        <w:t xml:space="preserve"> </w:t>
      </w:r>
      <w:r w:rsidR="0000024B" w:rsidRPr="0000024B">
        <w:rPr>
          <w:rFonts w:ascii="Verdana" w:hAnsi="Verdana"/>
          <w:lang w:val="en-US"/>
        </w:rPr>
        <w:t xml:space="preserve">Specifically, we assume that </w:t>
      </w:r>
      <w:r>
        <w:rPr>
          <w:rFonts w:ascii="Verdana" w:hAnsi="Verdana"/>
          <w:lang w:val="en-US"/>
        </w:rPr>
        <w:t xml:space="preserve">the individual </w:t>
      </w:r>
      <w:r w:rsidR="0000024B" w:rsidRPr="0000024B">
        <w:rPr>
          <w:rFonts w:ascii="Verdana" w:hAnsi="Verdana"/>
          <w:lang w:val="en-US"/>
        </w:rPr>
        <w:t>mortality rate increases the longer a patient spends in one of the sick states and that effectiveness of treatment is dependent on the duration of stay in the sick states and on baseline characteristics.</w:t>
      </w:r>
      <w:r w:rsidR="0000024B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Healthy individuals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still </w:t>
      </w:r>
      <w:r w:rsidR="0000024B" w:rsidRPr="009B604B">
        <w:rPr>
          <w:rFonts w:ascii="Verdana" w:hAnsi="Verdana"/>
          <w:lang w:val="en-US"/>
        </w:rPr>
        <w:t>have a death</w:t>
      </w:r>
      <w:r>
        <w:rPr>
          <w:rFonts w:ascii="Verdana" w:hAnsi="Verdana"/>
          <w:lang w:val="en-US"/>
        </w:rPr>
        <w:t xml:space="preserve"> rate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based on the Human Mortality Database. </w:t>
      </w:r>
    </w:p>
    <w:p w14:paraId="22EAE892" w14:textId="77777777" w:rsidR="0000024B" w:rsidRPr="0000024B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77777777" w:rsidR="0000024B" w:rsidRPr="0000024B" w:rsidRDefault="0000024B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Three modifications were made to the model:</w:t>
      </w:r>
    </w:p>
    <w:p w14:paraId="5FC37B16" w14:textId="74CBA466" w:rsidR="0000024B" w:rsidRDefault="0000024B" w:rsidP="0000024B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7DEE49B1" w14:textId="77777777" w:rsidR="00665F79" w:rsidRDefault="0000024B" w:rsidP="00665F79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mortality</w:t>
      </w:r>
      <w:r w:rsidR="009475D6">
        <w:rPr>
          <w:rFonts w:ascii="Verdana" w:eastAsia="Calibri" w:hAnsi="Verdana" w:cs="Times New Roman"/>
          <w:color w:val="auto"/>
          <w:lang w:val="en-US" w:eastAsia="en-US"/>
        </w:rPr>
        <w:t xml:space="preserve"> 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rates in the sick/sicker states depend on the duration of remaining in the disease states (see Table). </w:t>
      </w:r>
    </w:p>
    <w:p w14:paraId="27BB84AA" w14:textId="014CC556" w:rsidR="0000024B" w:rsidRPr="00D11272" w:rsidRDefault="0000024B" w:rsidP="00544298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665F79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 w:rsidRPr="00665F79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665F79">
        <w:rPr>
          <w:rFonts w:ascii="Verdana" w:eastAsia="Calibri" w:hAnsi="Verdana" w:cs="Times New Roman"/>
          <w:color w:val="auto"/>
          <w:lang w:val="en-US" w:eastAsia="en-US"/>
        </w:rPr>
        <w:t xml:space="preserve"> Table</w:t>
      </w:r>
      <w:r w:rsidR="00D11272">
        <w:rPr>
          <w:rFonts w:ascii="Verdana" w:eastAsia="Calibri" w:hAnsi="Verdana" w:cs="Times New Roman"/>
          <w:color w:val="auto"/>
          <w:lang w:val="en-US" w:eastAsia="en-US"/>
        </w:rPr>
        <w:t xml:space="preserve"> below</w:t>
      </w:r>
      <w:bookmarkStart w:id="0" w:name="_GoBack"/>
      <w:bookmarkEnd w:id="0"/>
      <w:r w:rsidRPr="00665F79">
        <w:rPr>
          <w:rFonts w:ascii="Verdana" w:eastAsia="Calibri" w:hAnsi="Verdana" w:cs="Times New Roman"/>
          <w:color w:val="auto"/>
          <w:lang w:val="en-US" w:eastAsia="en-US"/>
        </w:rPr>
        <w:t>.</w:t>
      </w:r>
    </w:p>
    <w:p w14:paraId="44A5E49E" w14:textId="77777777" w:rsidR="002C3C3D" w:rsidRPr="0000024B" w:rsidRDefault="002C3C3D" w:rsidP="00544298">
      <w:pPr>
        <w:jc w:val="both"/>
        <w:rPr>
          <w:rFonts w:ascii="Verdana" w:hAnsi="Verdana"/>
          <w:lang w:val="en-GB"/>
        </w:rPr>
      </w:pPr>
    </w:p>
    <w:p w14:paraId="055CB3F3" w14:textId="11D0F3C1" w:rsidR="00317DD0" w:rsidRP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>After you have successfully implemented the natural history of the Sick-Sicker disease as a microsimulation, you can expand the model to include the possibility of treatment and evaluate whether it is cost-effective</w:t>
      </w:r>
      <w:r>
        <w:rPr>
          <w:rFonts w:ascii="Verdana" w:hAnsi="Verdana"/>
          <w:lang w:val="en-US"/>
        </w:rPr>
        <w:t xml:space="preserve"> </w:t>
      </w:r>
      <w:r w:rsidRPr="00544298">
        <w:rPr>
          <w:rFonts w:ascii="Verdana" w:hAnsi="Verdana"/>
          <w:color w:val="000000" w:themeColor="text1"/>
          <w:lang w:val="en-US"/>
        </w:rPr>
        <w:t>given a willingness to pay of $</w:t>
      </w:r>
      <w:r w:rsidR="00AC3FB2">
        <w:rPr>
          <w:rFonts w:ascii="Verdana" w:hAnsi="Verdana"/>
          <w:color w:val="000000" w:themeColor="text1"/>
          <w:lang w:val="en-US"/>
        </w:rPr>
        <w:t>2</w:t>
      </w:r>
      <w:r w:rsidRPr="00544298">
        <w:rPr>
          <w:rFonts w:ascii="Verdana" w:hAnsi="Verdana"/>
          <w:color w:val="000000" w:themeColor="text1"/>
          <w:lang w:val="en-US"/>
        </w:rPr>
        <w:t>0</w:t>
      </w:r>
      <w:r w:rsidR="00AC3FB2">
        <w:rPr>
          <w:rFonts w:ascii="Verdana" w:hAnsi="Verdana"/>
          <w:color w:val="000000" w:themeColor="text1"/>
          <w:lang w:val="en-US"/>
        </w:rPr>
        <w:t>,</w:t>
      </w:r>
      <w:r w:rsidRPr="00544298">
        <w:rPr>
          <w:rFonts w:ascii="Verdana" w:hAnsi="Verdana"/>
          <w:color w:val="000000" w:themeColor="text1"/>
          <w:lang w:val="en-US"/>
        </w:rPr>
        <w:t xml:space="preserve">000. </w:t>
      </w:r>
      <w:r w:rsidRPr="009B604B">
        <w:rPr>
          <w:rFonts w:ascii="Verdana" w:hAnsi="Verdana"/>
          <w:lang w:val="en-US"/>
        </w:rPr>
        <w:t xml:space="preserve">This hypothetical treatment improves the quality of life for those in the Sick state; however, it is not possible to distinguish between individuals in the Sick state from those in the Sicker state, so under a treatment strategy, individuals in both sick </w:t>
      </w:r>
      <w:r w:rsidRPr="009B604B">
        <w:rPr>
          <w:rFonts w:ascii="Verdana" w:hAnsi="Verdana"/>
          <w:lang w:val="en-US"/>
        </w:rPr>
        <w:lastRenderedPageBreak/>
        <w:t>states must be treated (and incur the costs of treatment). Treatment parameters are also summarized in the table below.</w:t>
      </w:r>
    </w:p>
    <w:p w14:paraId="0E7D3584" w14:textId="77777777" w:rsidR="0000024B" w:rsidRPr="00DC0E30" w:rsidRDefault="0000024B" w:rsidP="0000024B">
      <w:pPr>
        <w:rPr>
          <w:lang w:val="en-US"/>
        </w:rPr>
      </w:pPr>
    </w:p>
    <w:p w14:paraId="747AB3F6" w14:textId="77777777" w:rsidR="0000024B" w:rsidRPr="009B604B" w:rsidRDefault="0000024B" w:rsidP="0000024B">
      <w:pPr>
        <w:pStyle w:val="Kop2"/>
        <w:rPr>
          <w:lang w:val="en-US"/>
        </w:rPr>
      </w:pPr>
      <w:r w:rsidRPr="009B604B">
        <w:rPr>
          <w:lang w:val="en-US"/>
        </w:rPr>
        <w:t>Tasks</w:t>
      </w:r>
    </w:p>
    <w:p w14:paraId="3CDEAB55" w14:textId="0A429672" w:rsidR="009475D6" w:rsidRPr="009475D6" w:rsidRDefault="009475D6" w:rsidP="009475D6">
      <w:pPr>
        <w:pStyle w:val="Lijstalinea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5E46048B" w:rsidR="009475D6" w:rsidRDefault="00490FE1" w:rsidP="009D6F40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Open the Microsimulation student template </w:t>
      </w:r>
      <w:r w:rsidR="009D6F40">
        <w:rPr>
          <w:rFonts w:asciiTheme="majorHAnsi" w:hAnsiTheme="majorHAnsi"/>
          <w:lang w:val="en-US"/>
        </w:rPr>
        <w:t xml:space="preserve">to load the data for the time dependency and the individual characteristics. </w:t>
      </w:r>
      <w:r w:rsidR="009D6F40" w:rsidRPr="009D6F40">
        <w:rPr>
          <w:rFonts w:asciiTheme="majorHAnsi" w:hAnsiTheme="majorHAnsi"/>
          <w:lang w:val="en-US"/>
        </w:rPr>
        <w:t>This templates makes use the files called mortProb.csv and MyPopulation-AgeDistribtion.csv</w:t>
      </w:r>
    </w:p>
    <w:p w14:paraId="310B987D" w14:textId="33CA65D4" w:rsidR="009D6F40" w:rsidRPr="009D6F40" w:rsidRDefault="009D6F40" w:rsidP="009D6F40">
      <w:pPr>
        <w:pStyle w:val="Lijstalinea"/>
        <w:numPr>
          <w:ilvl w:val="1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Start </w:t>
      </w:r>
      <w:r w:rsidR="003C4063">
        <w:rPr>
          <w:rFonts w:asciiTheme="majorHAnsi" w:hAnsiTheme="majorHAnsi"/>
          <w:lang w:val="en-US"/>
        </w:rPr>
        <w:t>adjusting the Probs(), Costs() and Eff()</w:t>
      </w:r>
      <w:r>
        <w:rPr>
          <w:rFonts w:asciiTheme="majorHAnsi" w:hAnsiTheme="majorHAnsi"/>
          <w:lang w:val="en-US"/>
        </w:rPr>
        <w:t xml:space="preserve"> </w:t>
      </w:r>
      <w:r w:rsidR="003C4063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“i.s” that can be set to “Treatment” or “No Treatment” to turn treatment on and off in the model.</w:t>
      </w:r>
    </w:p>
    <w:p w14:paraId="305FBFB3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9B604B" w:rsidRDefault="0000024B" w:rsidP="0000024B">
      <w:pPr>
        <w:pStyle w:val="Lijstalinea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9B604B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11CA5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CA"/>
        </w:rPr>
      </w:pPr>
      <w:r>
        <w:rPr>
          <w:lang w:val="en-US"/>
        </w:rPr>
        <w:br w:type="page"/>
      </w:r>
    </w:p>
    <w:p w14:paraId="5949CD2E" w14:textId="502ACD35" w:rsidR="00317DD0" w:rsidRDefault="00317DD0" w:rsidP="00317DD0">
      <w:pPr>
        <w:pStyle w:val="Kop4"/>
        <w:rPr>
          <w:lang w:val="en-US"/>
        </w:rPr>
      </w:pPr>
      <w:r>
        <w:rPr>
          <w:lang w:val="en-US"/>
        </w:rPr>
        <w:lastRenderedPageBreak/>
        <w:t>Table</w:t>
      </w:r>
      <w:r w:rsidR="00597ADC">
        <w:rPr>
          <w:lang w:val="en-US"/>
        </w:rPr>
        <w:t xml:space="preserve"> 1</w:t>
      </w:r>
      <w:r>
        <w:rPr>
          <w:lang w:val="en-US"/>
        </w:rPr>
        <w:t>: Input parameters</w:t>
      </w:r>
      <w:r w:rsidR="00597ADC">
        <w:rPr>
          <w:lang w:val="en-US"/>
        </w:rPr>
        <w:t xml:space="preserve"> </w:t>
      </w:r>
      <w:r w:rsidR="00AC3FB2">
        <w:rPr>
          <w:lang w:val="en-US"/>
        </w:rPr>
        <w:t xml:space="preserve">for the time dependent </w:t>
      </w:r>
      <w:r w:rsidR="00597ADC">
        <w:rPr>
          <w:lang w:val="en-US"/>
        </w:rPr>
        <w:t xml:space="preserve">Sick-Sicker Microsimulation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0B36B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0B36B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0B36B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43386F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43386F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43386F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0B36B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Number of simulated individuals (</w:t>
            </w:r>
            <w:r w:rsidRPr="00197966">
              <w:rPr>
                <w:rFonts w:ascii="Verdana" w:hAnsi="Verdana"/>
                <w:i/>
                <w:sz w:val="20"/>
                <w:szCs w:val="20"/>
                <w:lang w:val="en-GB"/>
              </w:rPr>
              <w:t>ni</w:t>
            </w: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43386F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</w:p>
        </w:tc>
        <w:tc>
          <w:tcPr>
            <w:tcW w:w="2981" w:type="dxa"/>
          </w:tcPr>
          <w:p w14:paraId="74324565" w14:textId="33CE9474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597A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0B36B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0B36B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</w:p>
        </w:tc>
        <w:tc>
          <w:tcPr>
            <w:tcW w:w="2981" w:type="dxa"/>
            <w:hideMark/>
          </w:tcPr>
          <w:p w14:paraId="2E15E9D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0B36B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</w:p>
        </w:tc>
        <w:tc>
          <w:tcPr>
            <w:tcW w:w="2981" w:type="dxa"/>
            <w:hideMark/>
          </w:tcPr>
          <w:p w14:paraId="3A25D62E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0B36B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0B36B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0B36B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0B36B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0B36B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0B36B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0B36B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0B36B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</w:p>
        </w:tc>
        <w:tc>
          <w:tcPr>
            <w:tcW w:w="2981" w:type="dxa"/>
            <w:hideMark/>
          </w:tcPr>
          <w:p w14:paraId="32A53033" w14:textId="7B6B5B5D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0B36B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0B36B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0B36B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0A69845C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11FD32E5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23C60D" w14:textId="103DDE00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1</w:t>
            </w:r>
          </w:p>
        </w:tc>
        <w:tc>
          <w:tcPr>
            <w:tcW w:w="1559" w:type="dxa"/>
          </w:tcPr>
          <w:p w14:paraId="7271ADAC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E208E3B" w14:textId="307A597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0.0149</w:t>
            </w:r>
          </w:p>
        </w:tc>
      </w:tr>
      <w:tr w:rsidR="00AC3FB2" w:rsidRPr="000B36BC" w14:paraId="150DE511" w14:textId="77777777" w:rsidTr="00AC3FB2">
        <w:trPr>
          <w:trHeight w:val="229"/>
        </w:trPr>
        <w:tc>
          <w:tcPr>
            <w:tcW w:w="4820" w:type="dxa"/>
            <w:gridSpan w:val="2"/>
          </w:tcPr>
          <w:p w14:paraId="48A3D47B" w14:textId="60C76EFE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2</w:t>
            </w:r>
          </w:p>
        </w:tc>
        <w:tc>
          <w:tcPr>
            <w:tcW w:w="1559" w:type="dxa"/>
          </w:tcPr>
          <w:p w14:paraId="501B4242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0C9B412" w14:textId="5DF9DFA9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0.018 </w:t>
            </w:r>
          </w:p>
        </w:tc>
      </w:tr>
      <w:tr w:rsidR="00AC3FB2" w:rsidRPr="000B36BC" w14:paraId="5483D4F9" w14:textId="77777777" w:rsidTr="00AC3FB2">
        <w:trPr>
          <w:trHeight w:val="229"/>
        </w:trPr>
        <w:tc>
          <w:tcPr>
            <w:tcW w:w="4820" w:type="dxa"/>
            <w:gridSpan w:val="2"/>
          </w:tcPr>
          <w:p w14:paraId="582D8C2B" w14:textId="56064AFB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3</w:t>
            </w:r>
          </w:p>
        </w:tc>
        <w:tc>
          <w:tcPr>
            <w:tcW w:w="1559" w:type="dxa"/>
          </w:tcPr>
          <w:p w14:paraId="666743E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2A5FA66" w14:textId="4A77714D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0.021 </w:t>
            </w:r>
          </w:p>
        </w:tc>
      </w:tr>
      <w:tr w:rsidR="00AC3FB2" w:rsidRPr="000B36BC" w14:paraId="71070C83" w14:textId="77777777" w:rsidTr="00AC3FB2">
        <w:trPr>
          <w:trHeight w:val="88"/>
        </w:trPr>
        <w:tc>
          <w:tcPr>
            <w:tcW w:w="4820" w:type="dxa"/>
            <w:gridSpan w:val="2"/>
          </w:tcPr>
          <w:p w14:paraId="34CC63EF" w14:textId="634262F3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4</w:t>
            </w:r>
          </w:p>
        </w:tc>
        <w:tc>
          <w:tcPr>
            <w:tcW w:w="1559" w:type="dxa"/>
          </w:tcPr>
          <w:p w14:paraId="202295E7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9DD7CBB" w14:textId="04DAE52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0.026 </w:t>
            </w:r>
          </w:p>
        </w:tc>
      </w:tr>
      <w:tr w:rsidR="00AC3FB2" w:rsidRPr="000B36BC" w14:paraId="43763AEC" w14:textId="77777777" w:rsidTr="00AC3FB2">
        <w:trPr>
          <w:trHeight w:val="229"/>
        </w:trPr>
        <w:tc>
          <w:tcPr>
            <w:tcW w:w="4820" w:type="dxa"/>
            <w:gridSpan w:val="2"/>
          </w:tcPr>
          <w:p w14:paraId="3EF2164B" w14:textId="5C962A6A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5</w:t>
            </w:r>
          </w:p>
        </w:tc>
        <w:tc>
          <w:tcPr>
            <w:tcW w:w="1559" w:type="dxa"/>
          </w:tcPr>
          <w:p w14:paraId="684E0BA4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15218EF6" w14:textId="07E5FA28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0.031 </w:t>
            </w:r>
          </w:p>
        </w:tc>
      </w:tr>
      <w:tr w:rsidR="00AC3FB2" w:rsidRPr="000B36BC" w14:paraId="38C02DF3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10FD77" w14:textId="123CF2D6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6 and on </w:t>
            </w:r>
          </w:p>
        </w:tc>
        <w:tc>
          <w:tcPr>
            <w:tcW w:w="1559" w:type="dxa"/>
          </w:tcPr>
          <w:p w14:paraId="21D882D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A2140D0" w14:textId="3830CBE0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>0.037</w:t>
            </w:r>
          </w:p>
        </w:tc>
      </w:tr>
      <w:tr w:rsidR="00AC3FB2" w:rsidRPr="000B36B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1C084F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Probability</w:t>
            </w:r>
            <w:r w:rsidRPr="001C084F">
              <w:rPr>
                <w:rFonts w:ascii="Verdana" w:hAnsi="Verdana"/>
                <w:sz w:val="20"/>
                <w:lang w:val="en-US"/>
              </w:rPr>
              <w:t xml:space="preserve">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39B8BE70" w14:textId="5AC9678E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0B36B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</w:p>
        </w:tc>
        <w:tc>
          <w:tcPr>
            <w:tcW w:w="2981" w:type="dxa"/>
            <w:hideMark/>
          </w:tcPr>
          <w:p w14:paraId="026E05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</w:tcPr>
          <w:p w14:paraId="6F2375F9" w14:textId="76C14013" w:rsidR="00AC3FB2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0B36B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Additional a</w:t>
            </w:r>
            <w:r w:rsidRPr="000B36BC">
              <w:rPr>
                <w:rFonts w:ascii="Verdana" w:hAnsi="Verdana"/>
                <w:sz w:val="20"/>
                <w:lang w:val="en-US"/>
              </w:rPr>
              <w:t>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</w:p>
        </w:tc>
        <w:tc>
          <w:tcPr>
            <w:tcW w:w="2981" w:type="dxa"/>
            <w:hideMark/>
          </w:tcPr>
          <w:p w14:paraId="5918C6B9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</w:p>
        </w:tc>
        <w:tc>
          <w:tcPr>
            <w:tcW w:w="2981" w:type="dxa"/>
            <w:hideMark/>
          </w:tcPr>
          <w:p w14:paraId="4556C6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0B36B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0B36B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0B36B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0B36B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</w:p>
        </w:tc>
        <w:tc>
          <w:tcPr>
            <w:tcW w:w="2981" w:type="dxa"/>
            <w:hideMark/>
          </w:tcPr>
          <w:p w14:paraId="79EA41A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0B36B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0B36B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FA6DE5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FA6DE5">
              <w:rPr>
                <w:rFonts w:ascii="Verdana" w:hAnsi="Verdana"/>
                <w:sz w:val="20"/>
                <w:szCs w:val="20"/>
                <w:lang w:val="en-GB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FA6DE5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FA6DE5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FA6DE5">
              <w:rPr>
                <w:rFonts w:ascii="Consolas" w:hAnsi="Consolas"/>
                <w:sz w:val="20"/>
                <w:szCs w:val="20"/>
              </w:rPr>
              <w:t>x</w:t>
            </w:r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FA6DE5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FA6DE5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FA6DE5">
              <w:rPr>
                <w:rFonts w:asciiTheme="minorHAnsi" w:hAnsiTheme="minorHAnsi"/>
                <w:sz w:val="20"/>
                <w:szCs w:val="20"/>
              </w:rPr>
              <w:t>(0.95, 1.05)</w:t>
            </w:r>
          </w:p>
        </w:tc>
      </w:tr>
    </w:tbl>
    <w:p w14:paraId="2817B4AE" w14:textId="65514D5F" w:rsidR="003033BF" w:rsidRDefault="003033BF" w:rsidP="00013A2D">
      <w:pPr>
        <w:pStyle w:val="Kop1"/>
        <w:ind w:left="0"/>
        <w:rPr>
          <w:lang w:val="nl-NL"/>
        </w:rPr>
      </w:pPr>
    </w:p>
    <w:p w14:paraId="7B122334" w14:textId="77777777" w:rsidR="00E11CA5" w:rsidRPr="00E11CA5" w:rsidRDefault="00E11CA5" w:rsidP="00E11CA5">
      <w:pPr>
        <w:rPr>
          <w:lang w:val="nl-NL"/>
        </w:rPr>
      </w:pPr>
    </w:p>
    <w:p w14:paraId="271A29AC" w14:textId="541AED8A" w:rsidR="00013A2D" w:rsidRPr="00AC3FB2" w:rsidRDefault="00AC3FB2" w:rsidP="00013A2D">
      <w:pPr>
        <w:pStyle w:val="Kop1"/>
        <w:ind w:left="0"/>
        <w:rPr>
          <w:lang w:val="nl-NL"/>
        </w:rPr>
      </w:pPr>
      <w:r>
        <w:rPr>
          <w:lang w:val="nl-NL"/>
        </w:rPr>
        <w:lastRenderedPageBreak/>
        <w:t>Results</w:t>
      </w:r>
    </w:p>
    <w:p w14:paraId="0CF47EA5" w14:textId="77777777" w:rsidR="00490FE1" w:rsidRDefault="00490FE1" w:rsidP="00AC3FB2">
      <w:pPr>
        <w:tabs>
          <w:tab w:val="left" w:pos="2616"/>
        </w:tabs>
        <w:rPr>
          <w:rStyle w:val="Intensievebenadrukking"/>
          <w:lang w:val="en-US"/>
        </w:rPr>
      </w:pPr>
    </w:p>
    <w:p w14:paraId="0CAC6BF9" w14:textId="55345DC9" w:rsidR="00AC3FB2" w:rsidRDefault="00AC3FB2" w:rsidP="00AC3FB2">
      <w:pPr>
        <w:tabs>
          <w:tab w:val="left" w:pos="2616"/>
        </w:tabs>
        <w:rPr>
          <w:rStyle w:val="Intensievebenadrukking"/>
          <w:lang w:val="en-US"/>
        </w:rPr>
      </w:pPr>
      <w:r w:rsidRPr="009B604B">
        <w:rPr>
          <w:rStyle w:val="Intensievebenadrukking"/>
          <w:lang w:val="en-US"/>
        </w:rPr>
        <w:t>All results were generated with seed=1.</w:t>
      </w:r>
    </w:p>
    <w:p w14:paraId="186D612A" w14:textId="5F0B196C" w:rsidR="00490FE1" w:rsidRPr="009F165F" w:rsidRDefault="00490FE1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</w:p>
    <w:p w14:paraId="00A9EB52" w14:textId="595A5B0D" w:rsidR="00490FE1" w:rsidRDefault="00C4592F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C4592F">
        <w:rPr>
          <w:rStyle w:val="Intensievebenadrukking"/>
          <w:i w:val="0"/>
          <w:color w:val="auto"/>
          <w:sz w:val="28"/>
          <w:szCs w:val="28"/>
          <w:lang w:val="en-US"/>
        </w:rPr>
        <w:t>Strategy: no treatment</w:t>
      </w:r>
    </w:p>
    <w:p w14:paraId="7A63FA21" w14:textId="5B659A20" w:rsidR="00C4592F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24C8F1D" wp14:editId="77503747">
            <wp:extent cx="5943600" cy="39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6DD" w14:textId="09BA0530" w:rsidR="00E70741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065A74D" wp14:editId="730581A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F36" w14:textId="16443FE2" w:rsidR="00722755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53538DFA" wp14:editId="0DEC573B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4CA" w14:textId="3EDB399E" w:rsidR="00722755" w:rsidRDefault="00722755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C4592F">
        <w:rPr>
          <w:rStyle w:val="Intensievebenadrukking"/>
          <w:i w:val="0"/>
          <w:color w:val="auto"/>
          <w:sz w:val="28"/>
          <w:szCs w:val="28"/>
          <w:lang w:val="en-US"/>
        </w:rPr>
        <w:lastRenderedPageBreak/>
        <w:t>Strategy: treatment</w:t>
      </w:r>
    </w:p>
    <w:p w14:paraId="7B3E2B4D" w14:textId="3891B2AE" w:rsidR="00E70741" w:rsidRDefault="00E70741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765C42F7" wp14:editId="053AB72B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0AE" w14:textId="593720FE" w:rsidR="00E70741" w:rsidRDefault="00E70741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2F98B76" wp14:editId="363839D1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18B" w14:textId="23BA91E9" w:rsidR="00722755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77C6BA4" wp14:editId="4C37E335">
            <wp:extent cx="5943600" cy="39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E85D" w14:textId="77777777" w:rsidR="00170082" w:rsidRPr="00170082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lastRenderedPageBreak/>
        <w:t xml:space="preserve">     Strategy      Cost   Effect Inc_Cost Inc_Effect     ICER Status</w:t>
      </w:r>
    </w:p>
    <w:p w14:paraId="7A9D1285" w14:textId="77777777" w:rsidR="00170082" w:rsidRPr="000E3D26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</w:pPr>
      <w:r w:rsidRPr="000E3D26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>1 no treatment  77752.46 16.19202       NA         NA       NA     ND</w:t>
      </w:r>
    </w:p>
    <w:p w14:paraId="76DC82BE" w14:textId="77777777" w:rsidR="00170082" w:rsidRPr="00170082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CA" w:eastAsia="en-CA"/>
        </w:rPr>
      </w:pPr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2    treatment 144839.47 16.76875 67087.01   0.576735 116322.1     ND</w:t>
      </w:r>
    </w:p>
    <w:p w14:paraId="72CFC1AC" w14:textId="0FF94565" w:rsidR="00722755" w:rsidRDefault="00722755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</w:p>
    <w:p w14:paraId="6D21D8C3" w14:textId="68E7FE8B" w:rsidR="00722755" w:rsidRDefault="00722755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</w:p>
    <w:p w14:paraId="3DAFB001" w14:textId="77777777" w:rsidR="00722755" w:rsidRPr="00C4592F" w:rsidRDefault="00722755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</w:p>
    <w:sectPr w:rsidR="00722755" w:rsidRPr="00C4592F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619A5" w14:textId="77777777" w:rsidR="00B26D42" w:rsidRDefault="00B26D42" w:rsidP="006146D5">
      <w:pPr>
        <w:spacing w:after="0" w:line="240" w:lineRule="auto"/>
      </w:pPr>
      <w:r>
        <w:separator/>
      </w:r>
    </w:p>
  </w:endnote>
  <w:endnote w:type="continuationSeparator" w:id="0">
    <w:p w14:paraId="70DD51CF" w14:textId="77777777" w:rsidR="00B26D42" w:rsidRDefault="00B26D42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46917D04" w:rsidR="00F01C9B" w:rsidRPr="000A20ED" w:rsidRDefault="00F01C9B" w:rsidP="00EC052D">
    <w:pPr>
      <w:pStyle w:val="Voettekst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Voettekst"/>
      <w:framePr w:wrap="around" w:vAnchor="text" w:hAnchor="margin" w:xAlign="right" w:y="1"/>
      <w:rPr>
        <w:rStyle w:val="Paginanummer"/>
        <w:lang w:val="en-CA"/>
      </w:rPr>
    </w:pPr>
    <w:r>
      <w:rPr>
        <w:rStyle w:val="Paginanummer"/>
      </w:rPr>
      <w:fldChar w:fldCharType="begin"/>
    </w:r>
    <w:r w:rsidRPr="00473D88">
      <w:rPr>
        <w:rStyle w:val="Paginanummer"/>
        <w:lang w:val="en-CA"/>
      </w:rPr>
      <w:instrText xml:space="preserve">PAGE  </w:instrText>
    </w:r>
    <w:r>
      <w:rPr>
        <w:rStyle w:val="Paginanummer"/>
      </w:rPr>
      <w:fldChar w:fldCharType="separate"/>
    </w:r>
    <w:r w:rsidR="0019140A">
      <w:rPr>
        <w:rStyle w:val="Paginanummer"/>
        <w:noProof/>
        <w:lang w:val="en-CA"/>
      </w:rPr>
      <w:t>7</w:t>
    </w:r>
    <w:r>
      <w:rPr>
        <w:rStyle w:val="Paginanummer"/>
      </w:rPr>
      <w:fldChar w:fldCharType="end"/>
    </w:r>
  </w:p>
  <w:p w14:paraId="645AC8E0" w14:textId="1A22D6CF" w:rsidR="00F01C9B" w:rsidRPr="00EC052D" w:rsidRDefault="0027223A" w:rsidP="00EC052D">
    <w:pPr>
      <w:pStyle w:val="Voettekst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423CA" w14:textId="77777777" w:rsidR="00B26D42" w:rsidRDefault="00B26D42" w:rsidP="006146D5">
      <w:pPr>
        <w:spacing w:after="0" w:line="240" w:lineRule="auto"/>
      </w:pPr>
      <w:r>
        <w:separator/>
      </w:r>
    </w:p>
  </w:footnote>
  <w:footnote w:type="continuationSeparator" w:id="0">
    <w:p w14:paraId="09F8018D" w14:textId="77777777" w:rsidR="00B26D42" w:rsidRDefault="00B26D42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CE120200"/>
    <w:lvl w:ilvl="0" w:tplc="07A0D47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7E7E"/>
    <w:rsid w:val="00012C42"/>
    <w:rsid w:val="00013A2D"/>
    <w:rsid w:val="00014FA7"/>
    <w:rsid w:val="00016B52"/>
    <w:rsid w:val="00017E46"/>
    <w:rsid w:val="00036110"/>
    <w:rsid w:val="00037372"/>
    <w:rsid w:val="000567DE"/>
    <w:rsid w:val="00060BFF"/>
    <w:rsid w:val="00065237"/>
    <w:rsid w:val="000867A9"/>
    <w:rsid w:val="000912E8"/>
    <w:rsid w:val="00094280"/>
    <w:rsid w:val="000A0B62"/>
    <w:rsid w:val="000A3C85"/>
    <w:rsid w:val="000C0429"/>
    <w:rsid w:val="000C48A6"/>
    <w:rsid w:val="000C769B"/>
    <w:rsid w:val="000D0C57"/>
    <w:rsid w:val="000E2A58"/>
    <w:rsid w:val="000E3D26"/>
    <w:rsid w:val="000E7793"/>
    <w:rsid w:val="0012587F"/>
    <w:rsid w:val="00133EC8"/>
    <w:rsid w:val="0013582C"/>
    <w:rsid w:val="00142B35"/>
    <w:rsid w:val="0015264F"/>
    <w:rsid w:val="0016081F"/>
    <w:rsid w:val="00170082"/>
    <w:rsid w:val="00186603"/>
    <w:rsid w:val="0019140A"/>
    <w:rsid w:val="00197966"/>
    <w:rsid w:val="001A31AC"/>
    <w:rsid w:val="001B21F6"/>
    <w:rsid w:val="001C084F"/>
    <w:rsid w:val="001D78A1"/>
    <w:rsid w:val="001F0002"/>
    <w:rsid w:val="001F3C5D"/>
    <w:rsid w:val="00201724"/>
    <w:rsid w:val="002153F3"/>
    <w:rsid w:val="0022134A"/>
    <w:rsid w:val="0022211C"/>
    <w:rsid w:val="0023368F"/>
    <w:rsid w:val="00250C02"/>
    <w:rsid w:val="00254EFE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2B0"/>
    <w:rsid w:val="00317409"/>
    <w:rsid w:val="00317DD0"/>
    <w:rsid w:val="00321895"/>
    <w:rsid w:val="00331262"/>
    <w:rsid w:val="003348D7"/>
    <w:rsid w:val="003468F2"/>
    <w:rsid w:val="00360890"/>
    <w:rsid w:val="00363952"/>
    <w:rsid w:val="00383112"/>
    <w:rsid w:val="00396405"/>
    <w:rsid w:val="003A42DD"/>
    <w:rsid w:val="003A70D3"/>
    <w:rsid w:val="003C4063"/>
    <w:rsid w:val="003E3F54"/>
    <w:rsid w:val="003F5BF1"/>
    <w:rsid w:val="003F7605"/>
    <w:rsid w:val="004062B7"/>
    <w:rsid w:val="004249D1"/>
    <w:rsid w:val="0043386F"/>
    <w:rsid w:val="00473D88"/>
    <w:rsid w:val="00490FE1"/>
    <w:rsid w:val="004E67F3"/>
    <w:rsid w:val="004F5251"/>
    <w:rsid w:val="005032BF"/>
    <w:rsid w:val="00544298"/>
    <w:rsid w:val="00564574"/>
    <w:rsid w:val="00597568"/>
    <w:rsid w:val="00597ADC"/>
    <w:rsid w:val="005B150D"/>
    <w:rsid w:val="005D3AFD"/>
    <w:rsid w:val="005D75B1"/>
    <w:rsid w:val="005E1813"/>
    <w:rsid w:val="006037CB"/>
    <w:rsid w:val="006146D5"/>
    <w:rsid w:val="006256A4"/>
    <w:rsid w:val="00625BC1"/>
    <w:rsid w:val="006409FA"/>
    <w:rsid w:val="00660C85"/>
    <w:rsid w:val="00665F79"/>
    <w:rsid w:val="006675C2"/>
    <w:rsid w:val="00671EEC"/>
    <w:rsid w:val="006916C6"/>
    <w:rsid w:val="00692454"/>
    <w:rsid w:val="006B1528"/>
    <w:rsid w:val="006B4A66"/>
    <w:rsid w:val="006B6CFE"/>
    <w:rsid w:val="006D604E"/>
    <w:rsid w:val="00715485"/>
    <w:rsid w:val="00721377"/>
    <w:rsid w:val="00722755"/>
    <w:rsid w:val="00727EC2"/>
    <w:rsid w:val="00735251"/>
    <w:rsid w:val="00736BB4"/>
    <w:rsid w:val="00755287"/>
    <w:rsid w:val="00767DCD"/>
    <w:rsid w:val="007723E1"/>
    <w:rsid w:val="007903EE"/>
    <w:rsid w:val="007C1F85"/>
    <w:rsid w:val="007C25CC"/>
    <w:rsid w:val="007C2634"/>
    <w:rsid w:val="007C71B1"/>
    <w:rsid w:val="007E2E9D"/>
    <w:rsid w:val="007F0B29"/>
    <w:rsid w:val="007F3AEC"/>
    <w:rsid w:val="007F6987"/>
    <w:rsid w:val="00822CDF"/>
    <w:rsid w:val="00835559"/>
    <w:rsid w:val="00847A4B"/>
    <w:rsid w:val="00871511"/>
    <w:rsid w:val="0088163C"/>
    <w:rsid w:val="00887BC0"/>
    <w:rsid w:val="008A3C46"/>
    <w:rsid w:val="00913802"/>
    <w:rsid w:val="009475D6"/>
    <w:rsid w:val="00955E74"/>
    <w:rsid w:val="00965309"/>
    <w:rsid w:val="009A3C63"/>
    <w:rsid w:val="009B5069"/>
    <w:rsid w:val="009D6F40"/>
    <w:rsid w:val="009F165F"/>
    <w:rsid w:val="00A63CCE"/>
    <w:rsid w:val="00A7086A"/>
    <w:rsid w:val="00A84A0E"/>
    <w:rsid w:val="00A94E29"/>
    <w:rsid w:val="00AB43EE"/>
    <w:rsid w:val="00AC0560"/>
    <w:rsid w:val="00AC10FB"/>
    <w:rsid w:val="00AC3FB2"/>
    <w:rsid w:val="00AC72DB"/>
    <w:rsid w:val="00AD3392"/>
    <w:rsid w:val="00AD469D"/>
    <w:rsid w:val="00B01DBA"/>
    <w:rsid w:val="00B04AA3"/>
    <w:rsid w:val="00B124A7"/>
    <w:rsid w:val="00B2495A"/>
    <w:rsid w:val="00B26D42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4592F"/>
    <w:rsid w:val="00C523F4"/>
    <w:rsid w:val="00C76E28"/>
    <w:rsid w:val="00C804B2"/>
    <w:rsid w:val="00CC36C4"/>
    <w:rsid w:val="00CD57E4"/>
    <w:rsid w:val="00CF4238"/>
    <w:rsid w:val="00D11272"/>
    <w:rsid w:val="00D343B5"/>
    <w:rsid w:val="00D85DC9"/>
    <w:rsid w:val="00DA3C5F"/>
    <w:rsid w:val="00DC0E30"/>
    <w:rsid w:val="00DE2D6C"/>
    <w:rsid w:val="00E016B0"/>
    <w:rsid w:val="00E11CA5"/>
    <w:rsid w:val="00E1246F"/>
    <w:rsid w:val="00E14D22"/>
    <w:rsid w:val="00E2089E"/>
    <w:rsid w:val="00E3372E"/>
    <w:rsid w:val="00E57C56"/>
    <w:rsid w:val="00E61C7F"/>
    <w:rsid w:val="00E63D7E"/>
    <w:rsid w:val="00E66EB1"/>
    <w:rsid w:val="00E70741"/>
    <w:rsid w:val="00E725CE"/>
    <w:rsid w:val="00EA1325"/>
    <w:rsid w:val="00EA3BDD"/>
    <w:rsid w:val="00EA498F"/>
    <w:rsid w:val="00EB4B73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6DE5"/>
    <w:rsid w:val="00FB7D70"/>
    <w:rsid w:val="00FC6E1D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Kop3">
    <w:name w:val="heading 3"/>
    <w:aliases w:val="Exercise name"/>
    <w:basedOn w:val="Standaard"/>
    <w:next w:val="Standaard"/>
    <w:link w:val="Kop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Kop4">
    <w:name w:val="heading 4"/>
    <w:aliases w:val="Table caption"/>
    <w:basedOn w:val="Standaard"/>
    <w:next w:val="Standaard"/>
    <w:link w:val="Kop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diumGrid1-Accent21">
    <w:name w:val="Medium Grid 1 - Accent 21"/>
    <w:basedOn w:val="Standaard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elraster">
    <w:name w:val="Table Grid"/>
    <w:basedOn w:val="Standaardtabe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Plattetekst"/>
    <w:next w:val="Platteteks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2134A"/>
    <w:pPr>
      <w:spacing w:after="120"/>
    </w:pPr>
  </w:style>
  <w:style w:type="character" w:customStyle="1" w:styleId="PlattetekstChar">
    <w:name w:val="Platte tekst Char"/>
    <w:link w:val="Plattetekst"/>
    <w:uiPriority w:val="99"/>
    <w:semiHidden/>
    <w:rsid w:val="0022134A"/>
    <w:rPr>
      <w:lang w:val="el-GR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Verwijzingopmerking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660C85"/>
    <w:rPr>
      <w:sz w:val="20"/>
      <w:szCs w:val="20"/>
      <w:lang w:val="el-GR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60C85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660C85"/>
    <w:rPr>
      <w:b/>
      <w:bCs/>
      <w:sz w:val="20"/>
      <w:szCs w:val="20"/>
      <w:lang w:val="el-GR"/>
    </w:rPr>
  </w:style>
  <w:style w:type="paragraph" w:styleId="Koptekst">
    <w:name w:val="header"/>
    <w:basedOn w:val="Standaard"/>
    <w:link w:val="Koptekst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6146D5"/>
    <w:rPr>
      <w:lang w:val="el-GR"/>
    </w:rPr>
  </w:style>
  <w:style w:type="paragraph" w:styleId="Voettekst">
    <w:name w:val="footer"/>
    <w:basedOn w:val="Standaard"/>
    <w:link w:val="Voettekst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VoettekstChar">
    <w:name w:val="Voettekst Char"/>
    <w:link w:val="Voettekst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alweb">
    <w:name w:val="Normal (Web)"/>
    <w:basedOn w:val="Standaard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el">
    <w:name w:val="Title"/>
    <w:basedOn w:val="Standaard"/>
    <w:next w:val="Standaard"/>
    <w:link w:val="Titel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elChar">
    <w:name w:val="Titel Char"/>
    <w:link w:val="Titel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Citaat">
    <w:name w:val="Quote"/>
    <w:basedOn w:val="Standaard"/>
    <w:next w:val="Standaard"/>
    <w:link w:val="Citaat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CitaatChar">
    <w:name w:val="Citaat Char"/>
    <w:basedOn w:val="Standaardalinea-lettertype"/>
    <w:link w:val="Citaat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Duidelijkcitaat">
    <w:name w:val="Intense Quote"/>
    <w:basedOn w:val="Standaard"/>
    <w:next w:val="Standaard"/>
    <w:link w:val="Duidelijkcitaat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DuidelijkcitaatChar">
    <w:name w:val="Duidelijk citaat Char"/>
    <w:basedOn w:val="Standaardalinea-lettertype"/>
    <w:link w:val="Duidelijkcitaat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Nadruk">
    <w:name w:val="Emphasis"/>
    <w:basedOn w:val="Standaardalinea-lettertype"/>
    <w:uiPriority w:val="20"/>
    <w:qFormat/>
    <w:rsid w:val="003468F2"/>
    <w:rPr>
      <w:rFonts w:ascii="Verdana" w:hAnsi="Verdana"/>
      <w:i/>
      <w:iCs/>
    </w:rPr>
  </w:style>
  <w:style w:type="paragraph" w:styleId="Bibliografie">
    <w:name w:val="Bibliography"/>
    <w:basedOn w:val="Standaard"/>
    <w:next w:val="Standaard"/>
    <w:uiPriority w:val="61"/>
    <w:rsid w:val="003468F2"/>
    <w:rPr>
      <w:rFonts w:ascii="Verdana" w:hAnsi="Verdana"/>
    </w:rPr>
  </w:style>
  <w:style w:type="character" w:styleId="Zwaar">
    <w:name w:val="Strong"/>
    <w:basedOn w:val="Standaardalinea-lettertype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ieveverwijzing">
    <w:name w:val="Intense Reference"/>
    <w:basedOn w:val="Standaardalinea-lettertype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Kop3Char">
    <w:name w:val="Kop 3 Char"/>
    <w:aliases w:val="Exercise name Char"/>
    <w:basedOn w:val="Standaardalinea-lettertype"/>
    <w:link w:val="Kop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ieleverwijzing">
    <w:name w:val="Subtle Reference"/>
    <w:basedOn w:val="Standaardalinea-lettertype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Kop4Char">
    <w:name w:val="Kop 4 Char"/>
    <w:aliases w:val="Table caption Char"/>
    <w:basedOn w:val="Standaardalinea-lettertype"/>
    <w:link w:val="Kop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jstalinea">
    <w:name w:val="List Paragraph"/>
    <w:basedOn w:val="Standaard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ielebenadrukking">
    <w:name w:val="Subtle Emphasis"/>
    <w:basedOn w:val="Standaardalinea-lettertype"/>
    <w:uiPriority w:val="70"/>
    <w:qFormat/>
    <w:rsid w:val="006B4A66"/>
    <w:rPr>
      <w:i/>
      <w:iCs/>
      <w:color w:val="808080" w:themeColor="text1" w:themeTint="7F"/>
    </w:rPr>
  </w:style>
  <w:style w:type="character" w:styleId="Paginanummer">
    <w:name w:val="page number"/>
    <w:basedOn w:val="Standaardalinea-lettertype"/>
    <w:rsid w:val="00EC052D"/>
  </w:style>
  <w:style w:type="table" w:styleId="Lichtelijst-accent2">
    <w:name w:val="Light List Accent 2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Standaardalinea-lettertype"/>
    <w:rsid w:val="00142B35"/>
    <w:rPr>
      <w:rFonts w:ascii="Consolas" w:hAnsi="Consolas"/>
      <w:shd w:val="clear" w:color="auto" w:fill="F8F8F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ievebenadrukking">
    <w:name w:val="Intense Emphasis"/>
    <w:basedOn w:val="Standaardalinea-lettertype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Standaardalinea-lettertype"/>
    <w:rsid w:val="0072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1001</Words>
  <Characters>5508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6497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Eline Krijkamp</cp:lastModifiedBy>
  <cp:revision>49</cp:revision>
  <cp:lastPrinted>2017-12-06T13:15:00Z</cp:lastPrinted>
  <dcterms:created xsi:type="dcterms:W3CDTF">2019-02-03T08:07:00Z</dcterms:created>
  <dcterms:modified xsi:type="dcterms:W3CDTF">2019-10-20T14:51:00Z</dcterms:modified>
</cp:coreProperties>
</file>