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84" w:rsidRDefault="00521A84" w:rsidP="00521A84">
      <w:pPr>
        <w:widowControl w:val="0"/>
        <w:autoSpaceDE w:val="0"/>
        <w:autoSpaceDN w:val="0"/>
        <w:adjustRightInd w:val="0"/>
        <w:rPr>
          <w:rFonts w:ascii="Helvetica" w:hAnsi="Helvetica" w:cs="Helvetica"/>
          <w:sz w:val="48"/>
          <w:szCs w:val="48"/>
        </w:rPr>
      </w:pPr>
      <w:r>
        <w:rPr>
          <w:rFonts w:ascii="Helvetica" w:hAnsi="Helvetica" w:cs="Helvetica"/>
          <w:sz w:val="48"/>
          <w:szCs w:val="48"/>
        </w:rPr>
        <w:t>Mayo Clinic Primary Biliary Cirrhosis, sequential data</w:t>
      </w:r>
    </w:p>
    <w:p w:rsidR="00521A84" w:rsidRDefault="00521A84" w:rsidP="00521A84">
      <w:pPr>
        <w:widowControl w:val="0"/>
        <w:autoSpaceDE w:val="0"/>
        <w:autoSpaceDN w:val="0"/>
        <w:adjustRightInd w:val="0"/>
        <w:rPr>
          <w:rFonts w:ascii="Helvetica" w:hAnsi="Helvetica" w:cs="Helvetica"/>
          <w:sz w:val="48"/>
          <w:szCs w:val="48"/>
        </w:rPr>
      </w:pPr>
    </w:p>
    <w:p w:rsidR="00521A84" w:rsidRDefault="00521A84" w:rsidP="00521A84">
      <w:pPr>
        <w:widowControl w:val="0"/>
        <w:autoSpaceDE w:val="0"/>
        <w:autoSpaceDN w:val="0"/>
        <w:adjustRightInd w:val="0"/>
        <w:rPr>
          <w:rFonts w:ascii="Helvetica" w:hAnsi="Helvetica" w:cs="Helvetica"/>
          <w:b/>
          <w:bCs/>
          <w:color w:val="474747"/>
          <w:sz w:val="30"/>
          <w:szCs w:val="30"/>
        </w:rPr>
      </w:pPr>
      <w:r>
        <w:rPr>
          <w:rFonts w:ascii="Helvetica" w:hAnsi="Helvetica" w:cs="Helvetica"/>
          <w:b/>
          <w:bCs/>
          <w:color w:val="474747"/>
          <w:sz w:val="30"/>
          <w:szCs w:val="30"/>
        </w:rPr>
        <w:t>Description</w:t>
      </w:r>
    </w:p>
    <w:p w:rsidR="00521A84" w:rsidRDefault="00521A84" w:rsidP="00521A84">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This data is a continuation of the PBC data set, and contains the follow-up laboratory data for each study patient. An analysis based on the data can be found in </w:t>
      </w:r>
      <w:proofErr w:type="spellStart"/>
      <w:r>
        <w:rPr>
          <w:rFonts w:ascii="Helvetica" w:hAnsi="Helvetica" w:cs="Helvetica"/>
          <w:sz w:val="26"/>
          <w:szCs w:val="26"/>
        </w:rPr>
        <w:t>Murtagh</w:t>
      </w:r>
      <w:proofErr w:type="spellEnd"/>
      <w:r>
        <w:rPr>
          <w:rFonts w:ascii="Helvetica" w:hAnsi="Helvetica" w:cs="Helvetica"/>
          <w:sz w:val="26"/>
          <w:szCs w:val="26"/>
        </w:rPr>
        <w:t>, et. al.</w:t>
      </w:r>
    </w:p>
    <w:p w:rsidR="00521A84" w:rsidRDefault="00521A84" w:rsidP="00521A84">
      <w:pPr>
        <w:widowControl w:val="0"/>
        <w:autoSpaceDE w:val="0"/>
        <w:autoSpaceDN w:val="0"/>
        <w:adjustRightInd w:val="0"/>
        <w:rPr>
          <w:rFonts w:ascii="Helvetica" w:hAnsi="Helvetica" w:cs="Helvetica"/>
          <w:sz w:val="26"/>
          <w:szCs w:val="26"/>
        </w:rPr>
      </w:pPr>
    </w:p>
    <w:p w:rsidR="00521A84" w:rsidRDefault="00521A84" w:rsidP="00521A84">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The primary PBC data set contains only baseline measurements of the laboratory </w:t>
      </w:r>
      <w:proofErr w:type="spellStart"/>
      <w:r>
        <w:rPr>
          <w:rFonts w:ascii="Helvetica" w:hAnsi="Helvetica" w:cs="Helvetica"/>
          <w:sz w:val="26"/>
          <w:szCs w:val="26"/>
        </w:rPr>
        <w:t>paramters</w:t>
      </w:r>
      <w:proofErr w:type="spellEnd"/>
      <w:r>
        <w:rPr>
          <w:rFonts w:ascii="Helvetica" w:hAnsi="Helvetica" w:cs="Helvetica"/>
          <w:sz w:val="26"/>
          <w:szCs w:val="26"/>
        </w:rPr>
        <w:t xml:space="preserve">. This data set contains multiple laboratory results, but only on the 312 randomized patients. Some baseline data values in this file differ from the original PBC file, for instance, the data errors in </w:t>
      </w:r>
      <w:proofErr w:type="spellStart"/>
      <w:r>
        <w:rPr>
          <w:rFonts w:ascii="Helvetica" w:hAnsi="Helvetica" w:cs="Helvetica"/>
          <w:sz w:val="26"/>
          <w:szCs w:val="26"/>
        </w:rPr>
        <w:t>prothrombin</w:t>
      </w:r>
      <w:proofErr w:type="spellEnd"/>
      <w:r>
        <w:rPr>
          <w:rFonts w:ascii="Helvetica" w:hAnsi="Helvetica" w:cs="Helvetica"/>
          <w:sz w:val="26"/>
          <w:szCs w:val="26"/>
        </w:rPr>
        <w:t xml:space="preserve"> time and age which were discovered after the </w:t>
      </w:r>
      <w:proofErr w:type="spellStart"/>
      <w:r>
        <w:rPr>
          <w:rFonts w:ascii="Helvetica" w:hAnsi="Helvetica" w:cs="Helvetica"/>
          <w:sz w:val="26"/>
          <w:szCs w:val="26"/>
        </w:rPr>
        <w:t>orignal</w:t>
      </w:r>
      <w:proofErr w:type="spellEnd"/>
      <w:r>
        <w:rPr>
          <w:rFonts w:ascii="Helvetica" w:hAnsi="Helvetica" w:cs="Helvetica"/>
          <w:sz w:val="26"/>
          <w:szCs w:val="26"/>
        </w:rPr>
        <w:t xml:space="preserve"> analysis (see Fleming and Harrington, figure 4.6.7).</w:t>
      </w:r>
    </w:p>
    <w:p w:rsidR="00521A84" w:rsidRDefault="00521A84" w:rsidP="00521A84">
      <w:pPr>
        <w:widowControl w:val="0"/>
        <w:autoSpaceDE w:val="0"/>
        <w:autoSpaceDN w:val="0"/>
        <w:adjustRightInd w:val="0"/>
        <w:rPr>
          <w:rFonts w:ascii="Helvetica" w:hAnsi="Helvetica" w:cs="Helvetica"/>
          <w:sz w:val="26"/>
          <w:szCs w:val="26"/>
        </w:rPr>
      </w:pPr>
    </w:p>
    <w:p w:rsidR="00521A84" w:rsidRDefault="00521A84" w:rsidP="00521A84">
      <w:pPr>
        <w:widowControl w:val="0"/>
        <w:autoSpaceDE w:val="0"/>
        <w:autoSpaceDN w:val="0"/>
        <w:adjustRightInd w:val="0"/>
        <w:rPr>
          <w:rFonts w:ascii="Helvetica" w:hAnsi="Helvetica" w:cs="Helvetica"/>
          <w:sz w:val="26"/>
          <w:szCs w:val="26"/>
        </w:rPr>
      </w:pPr>
      <w:r>
        <w:rPr>
          <w:rFonts w:ascii="Helvetica" w:hAnsi="Helvetica" w:cs="Helvetica"/>
          <w:sz w:val="26"/>
          <w:szCs w:val="26"/>
        </w:rPr>
        <w:t>One "feature" of the data deserves special comment. The last observation before death or liver transplant often has many more missing covariates than other data rows. The original clinical protocol for these patients specified visits at 6 months, 1 year, and annually thereafter. At these protocol visits lab values were obtained for a large pre-specified battery of tests. "Extra" visits, often undertaken because of worsening medical condition, did not necessarily have all this lab work. The missing values are thus potentially informative.</w:t>
      </w:r>
    </w:p>
    <w:p w:rsidR="00521A84" w:rsidRDefault="00521A84">
      <w:pPr>
        <w:rPr>
          <w:rFonts w:ascii="Helvetica" w:hAnsi="Helvetica" w:cs="Helvetica"/>
          <w:sz w:val="26"/>
          <w:szCs w:val="26"/>
        </w:rPr>
      </w:pPr>
      <w:r>
        <w:rPr>
          <w:rFonts w:ascii="Helvetica" w:hAnsi="Helvetica" w:cs="Helvetica"/>
          <w:sz w:val="26"/>
          <w:szCs w:val="26"/>
        </w:rPr>
        <w:br w:type="page"/>
      </w:r>
    </w:p>
    <w:p w:rsidR="00521A84" w:rsidRDefault="00521A84" w:rsidP="00521A84">
      <w:pPr>
        <w:widowControl w:val="0"/>
        <w:autoSpaceDE w:val="0"/>
        <w:autoSpaceDN w:val="0"/>
        <w:adjustRightInd w:val="0"/>
        <w:rPr>
          <w:rFonts w:ascii="Helvetica" w:hAnsi="Helvetica" w:cs="Helvetica"/>
          <w:b/>
          <w:bCs/>
          <w:color w:val="474747"/>
          <w:sz w:val="30"/>
          <w:szCs w:val="30"/>
        </w:rPr>
      </w:pPr>
      <w:bookmarkStart w:id="0" w:name="_GoBack"/>
      <w:bookmarkEnd w:id="0"/>
      <w:r>
        <w:rPr>
          <w:rFonts w:ascii="Helvetica" w:hAnsi="Helvetica" w:cs="Helvetica"/>
          <w:b/>
          <w:bCs/>
          <w:color w:val="474747"/>
          <w:sz w:val="30"/>
          <w:szCs w:val="30"/>
        </w:rPr>
        <w:lastRenderedPageBreak/>
        <w:t>Format</w:t>
      </w:r>
    </w:p>
    <w:tbl>
      <w:tblPr>
        <w:tblW w:w="0" w:type="auto"/>
        <w:tblBorders>
          <w:top w:val="nil"/>
          <w:left w:val="nil"/>
          <w:right w:val="nil"/>
        </w:tblBorders>
        <w:tblLayout w:type="fixed"/>
        <w:tblLook w:val="0000" w:firstRow="0" w:lastRow="0" w:firstColumn="0" w:lastColumn="0" w:noHBand="0" w:noVBand="0"/>
      </w:tblPr>
      <w:tblGrid>
        <w:gridCol w:w="1537"/>
        <w:gridCol w:w="7223"/>
      </w:tblGrid>
      <w:tr w:rsidR="00521A84" w:rsidTr="00521A84">
        <w:tblPrEx>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id:</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case number</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age:</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in years</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sex:</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m/f</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trt</w:t>
            </w:r>
            <w:proofErr w:type="spellEnd"/>
            <w:r w:rsidRPr="00521A84">
              <w:rPr>
                <w:rFonts w:ascii="Courier" w:hAnsi="Courier" w:cs="Helvetica"/>
                <w:sz w:val="22"/>
                <w:szCs w:val="22"/>
              </w:rPr>
              <w: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1/2/NA for D-</w:t>
            </w:r>
            <w:proofErr w:type="spellStart"/>
            <w:r w:rsidRPr="00521A84">
              <w:rPr>
                <w:rFonts w:ascii="Courier" w:hAnsi="Courier" w:cs="Helvetica"/>
                <w:sz w:val="22"/>
                <w:szCs w:val="22"/>
              </w:rPr>
              <w:t>penicillmain</w:t>
            </w:r>
            <w:proofErr w:type="spellEnd"/>
            <w:r w:rsidRPr="00521A84">
              <w:rPr>
                <w:rFonts w:ascii="Courier" w:hAnsi="Courier" w:cs="Helvetica"/>
                <w:sz w:val="22"/>
                <w:szCs w:val="22"/>
              </w:rPr>
              <w:t xml:space="preserve">, placebo, not </w:t>
            </w:r>
            <w:proofErr w:type="spellStart"/>
            <w:r w:rsidRPr="00521A84">
              <w:rPr>
                <w:rFonts w:ascii="Courier" w:hAnsi="Courier" w:cs="Helvetica"/>
                <w:sz w:val="22"/>
                <w:szCs w:val="22"/>
              </w:rPr>
              <w:t>randomised</w:t>
            </w:r>
            <w:proofErr w:type="spellEnd"/>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time:</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number of days between registration and the earlier of death,</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transplantion</w:t>
            </w:r>
            <w:proofErr w:type="spellEnd"/>
            <w:r w:rsidRPr="00521A84">
              <w:rPr>
                <w:rFonts w:ascii="Courier" w:hAnsi="Courier" w:cs="Helvetica"/>
                <w:sz w:val="22"/>
                <w:szCs w:val="22"/>
              </w:rPr>
              <w:t>, or study analysis in July, 1986</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status:</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status at endpoint, 0/1/2 for censored, transplant, dead</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day:</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number of days between enrollment and this visit date</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all measurements below refer to this date</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albumin:</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serum albumin (mg/dl)</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alk.phos</w:t>
            </w:r>
            <w:proofErr w:type="spellEnd"/>
            <w:r w:rsidRPr="00521A84">
              <w:rPr>
                <w:rFonts w:ascii="Courier" w:hAnsi="Courier" w:cs="Helvetica"/>
                <w:sz w:val="22"/>
                <w:szCs w:val="22"/>
              </w:rPr>
              <w: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 xml:space="preserve">alkaline </w:t>
            </w:r>
            <w:proofErr w:type="spellStart"/>
            <w:r w:rsidRPr="00521A84">
              <w:rPr>
                <w:rFonts w:ascii="Courier" w:hAnsi="Courier" w:cs="Helvetica"/>
                <w:sz w:val="22"/>
                <w:szCs w:val="22"/>
              </w:rPr>
              <w:t>phosphotase</w:t>
            </w:r>
            <w:proofErr w:type="spellEnd"/>
            <w:r w:rsidRPr="00521A84">
              <w:rPr>
                <w:rFonts w:ascii="Courier" w:hAnsi="Courier" w:cs="Helvetica"/>
                <w:sz w:val="22"/>
                <w:szCs w:val="22"/>
              </w:rPr>
              <w:t xml:space="preserve"> (U/liter)</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ascites:</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presence of ascites</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ast</w:t>
            </w:r>
            <w:proofErr w:type="spellEnd"/>
            <w:r w:rsidRPr="00521A84">
              <w:rPr>
                <w:rFonts w:ascii="Courier" w:hAnsi="Courier" w:cs="Helvetica"/>
                <w:sz w:val="22"/>
                <w:szCs w:val="22"/>
              </w:rPr>
              <w: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aspartate aminotransferase, once called SGOT (U/ml)</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bili</w:t>
            </w:r>
            <w:proofErr w:type="spellEnd"/>
            <w:r w:rsidRPr="00521A84">
              <w:rPr>
                <w:rFonts w:ascii="Courier" w:hAnsi="Courier" w:cs="Helvetica"/>
                <w:sz w:val="22"/>
                <w:szCs w:val="22"/>
              </w:rPr>
              <w: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 xml:space="preserve">serum </w:t>
            </w:r>
            <w:proofErr w:type="spellStart"/>
            <w:r w:rsidRPr="00521A84">
              <w:rPr>
                <w:rFonts w:ascii="Courier" w:hAnsi="Courier" w:cs="Helvetica"/>
                <w:sz w:val="22"/>
                <w:szCs w:val="22"/>
              </w:rPr>
              <w:t>bilirunbin</w:t>
            </w:r>
            <w:proofErr w:type="spellEnd"/>
            <w:r w:rsidRPr="00521A84">
              <w:rPr>
                <w:rFonts w:ascii="Courier" w:hAnsi="Courier" w:cs="Helvetica"/>
                <w:sz w:val="22"/>
                <w:szCs w:val="22"/>
              </w:rPr>
              <w:t xml:space="preserve"> (mg/dl)</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chol</w:t>
            </w:r>
            <w:proofErr w:type="spellEnd"/>
            <w:r w:rsidRPr="00521A84">
              <w:rPr>
                <w:rFonts w:ascii="Courier" w:hAnsi="Courier" w:cs="Helvetica"/>
                <w:sz w:val="22"/>
                <w:szCs w:val="22"/>
              </w:rPr>
              <w: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serum cholesterol (mg/dl)</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copper:</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urine copper (</w:t>
            </w:r>
            <w:proofErr w:type="spellStart"/>
            <w:r w:rsidRPr="00521A84">
              <w:rPr>
                <w:rFonts w:ascii="Courier" w:hAnsi="Courier" w:cs="Helvetica"/>
                <w:sz w:val="22"/>
                <w:szCs w:val="22"/>
              </w:rPr>
              <w:t>ug</w:t>
            </w:r>
            <w:proofErr w:type="spellEnd"/>
            <w:r w:rsidRPr="00521A84">
              <w:rPr>
                <w:rFonts w:ascii="Courier" w:hAnsi="Courier" w:cs="Helvetica"/>
                <w:sz w:val="22"/>
                <w:szCs w:val="22"/>
              </w:rPr>
              <w:t>/day)</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edema:</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0 no edema, 0.5 untreated or successfully treated</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1 edema despite diuretic therapy</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hepato</w:t>
            </w:r>
            <w:proofErr w:type="spellEnd"/>
            <w:r w:rsidRPr="00521A84">
              <w:rPr>
                <w:rFonts w:ascii="Courier" w:hAnsi="Courier" w:cs="Helvetica"/>
                <w:sz w:val="22"/>
                <w:szCs w:val="22"/>
              </w:rPr>
              <w: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presence of hepatomegaly or enlarged liver</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platelet: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platelet count</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protime</w:t>
            </w:r>
            <w:proofErr w:type="spellEnd"/>
            <w:r w:rsidRPr="00521A84">
              <w:rPr>
                <w:rFonts w:ascii="Courier" w:hAnsi="Courier" w:cs="Helvetica"/>
                <w:sz w:val="22"/>
                <w:szCs w:val="22"/>
              </w:rPr>
              <w:t>:</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proofErr w:type="spellStart"/>
            <w:r w:rsidRPr="00521A84">
              <w:rPr>
                <w:rFonts w:ascii="Courier" w:hAnsi="Courier" w:cs="Helvetica"/>
                <w:sz w:val="22"/>
                <w:szCs w:val="22"/>
              </w:rPr>
              <w:t>standardised</w:t>
            </w:r>
            <w:proofErr w:type="spellEnd"/>
            <w:r w:rsidRPr="00521A84">
              <w:rPr>
                <w:rFonts w:ascii="Courier" w:hAnsi="Courier" w:cs="Helvetica"/>
                <w:sz w:val="22"/>
                <w:szCs w:val="22"/>
              </w:rPr>
              <w:t xml:space="preserve"> blood clotting time</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spiders:</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blood vessel malformations in the skin</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stage:</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histologic stage of disease (needs biopsy)</w:t>
            </w:r>
          </w:p>
        </w:tc>
      </w:tr>
      <w:tr w:rsidR="00521A84" w:rsidTr="00521A84">
        <w:tblPrEx>
          <w:tblBorders>
            <w:top w:val="none" w:sz="0" w:space="0" w:color="auto"/>
          </w:tblBorders>
          <w:tblCellMar>
            <w:top w:w="0" w:type="dxa"/>
            <w:bottom w:w="0" w:type="dxa"/>
          </w:tblCellMar>
        </w:tblPrEx>
        <w:tc>
          <w:tcPr>
            <w:tcW w:w="1537"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trig:</w:t>
            </w:r>
          </w:p>
        </w:tc>
        <w:tc>
          <w:tcPr>
            <w:tcW w:w="7223" w:type="dxa"/>
            <w:tcMar>
              <w:top w:w="20" w:type="nil"/>
              <w:left w:w="20" w:type="nil"/>
              <w:bottom w:w="20" w:type="nil"/>
              <w:right w:w="20" w:type="nil"/>
            </w:tcMar>
            <w:vAlign w:val="center"/>
          </w:tcPr>
          <w:p w:rsidR="00521A84" w:rsidRPr="00521A84" w:rsidRDefault="00521A84">
            <w:pPr>
              <w:widowControl w:val="0"/>
              <w:autoSpaceDE w:val="0"/>
              <w:autoSpaceDN w:val="0"/>
              <w:adjustRightInd w:val="0"/>
              <w:rPr>
                <w:rFonts w:ascii="Courier" w:hAnsi="Courier" w:cs="Helvetica"/>
                <w:sz w:val="22"/>
                <w:szCs w:val="22"/>
              </w:rPr>
            </w:pPr>
            <w:r w:rsidRPr="00521A84">
              <w:rPr>
                <w:rFonts w:ascii="Courier" w:hAnsi="Courier" w:cs="Helvetica"/>
                <w:sz w:val="22"/>
                <w:szCs w:val="22"/>
              </w:rPr>
              <w:t>triglycerides (mg/dl)</w:t>
            </w:r>
          </w:p>
        </w:tc>
      </w:tr>
      <w:tr w:rsidR="00521A84" w:rsidTr="00521A84">
        <w:tblPrEx>
          <w:tblCellMar>
            <w:top w:w="0" w:type="dxa"/>
            <w:bottom w:w="0" w:type="dxa"/>
          </w:tblCellMar>
        </w:tblPrEx>
        <w:tc>
          <w:tcPr>
            <w:tcW w:w="1537" w:type="dxa"/>
            <w:tcMar>
              <w:top w:w="20" w:type="nil"/>
              <w:left w:w="20" w:type="nil"/>
              <w:bottom w:w="20" w:type="nil"/>
              <w:right w:w="20" w:type="nil"/>
            </w:tcMar>
            <w:vAlign w:val="center"/>
          </w:tcPr>
          <w:p w:rsidR="00521A84" w:rsidRDefault="00521A84">
            <w:pPr>
              <w:widowControl w:val="0"/>
              <w:autoSpaceDE w:val="0"/>
              <w:autoSpaceDN w:val="0"/>
              <w:adjustRightInd w:val="0"/>
              <w:rPr>
                <w:rFonts w:ascii="Helvetica" w:hAnsi="Helvetica" w:cs="Helvetica"/>
                <w:sz w:val="26"/>
                <w:szCs w:val="26"/>
              </w:rPr>
            </w:pPr>
          </w:p>
        </w:tc>
        <w:tc>
          <w:tcPr>
            <w:tcW w:w="7223" w:type="dxa"/>
            <w:tcMar>
              <w:top w:w="20" w:type="nil"/>
              <w:left w:w="20" w:type="nil"/>
              <w:bottom w:w="20" w:type="nil"/>
              <w:right w:w="20" w:type="nil"/>
            </w:tcMar>
            <w:vAlign w:val="center"/>
          </w:tcPr>
          <w:p w:rsidR="00521A84" w:rsidRDefault="00521A84">
            <w:pPr>
              <w:widowControl w:val="0"/>
              <w:autoSpaceDE w:val="0"/>
              <w:autoSpaceDN w:val="0"/>
              <w:adjustRightInd w:val="0"/>
              <w:rPr>
                <w:rFonts w:ascii="Helvetica" w:hAnsi="Helvetica" w:cs="Helvetica"/>
                <w:sz w:val="26"/>
                <w:szCs w:val="26"/>
              </w:rPr>
            </w:pPr>
          </w:p>
        </w:tc>
      </w:tr>
    </w:tbl>
    <w:p w:rsidR="00521A84" w:rsidRDefault="00521A84" w:rsidP="00521A84">
      <w:pPr>
        <w:widowControl w:val="0"/>
        <w:autoSpaceDE w:val="0"/>
        <w:autoSpaceDN w:val="0"/>
        <w:adjustRightInd w:val="0"/>
        <w:rPr>
          <w:rFonts w:ascii="Helvetica" w:hAnsi="Helvetica" w:cs="Helvetica"/>
          <w:b/>
          <w:bCs/>
          <w:color w:val="474747"/>
          <w:sz w:val="30"/>
          <w:szCs w:val="30"/>
        </w:rPr>
      </w:pPr>
      <w:r>
        <w:rPr>
          <w:rFonts w:ascii="Helvetica" w:hAnsi="Helvetica" w:cs="Helvetica"/>
          <w:b/>
          <w:bCs/>
          <w:color w:val="474747"/>
          <w:sz w:val="30"/>
          <w:szCs w:val="30"/>
        </w:rPr>
        <w:t>Source</w:t>
      </w:r>
    </w:p>
    <w:p w:rsidR="00521A84" w:rsidRDefault="00521A84" w:rsidP="00521A84">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 </w:t>
      </w:r>
      <w:proofErr w:type="spellStart"/>
      <w:r>
        <w:rPr>
          <w:rFonts w:ascii="Helvetica" w:hAnsi="Helvetica" w:cs="Helvetica"/>
          <w:sz w:val="26"/>
          <w:szCs w:val="26"/>
        </w:rPr>
        <w:t>Therneau</w:t>
      </w:r>
      <w:proofErr w:type="spellEnd"/>
      <w:r>
        <w:rPr>
          <w:rFonts w:ascii="Helvetica" w:hAnsi="Helvetica" w:cs="Helvetica"/>
          <w:sz w:val="26"/>
          <w:szCs w:val="26"/>
        </w:rPr>
        <w:t xml:space="preserve"> and P </w:t>
      </w:r>
      <w:proofErr w:type="spellStart"/>
      <w:r>
        <w:rPr>
          <w:rFonts w:ascii="Helvetica" w:hAnsi="Helvetica" w:cs="Helvetica"/>
          <w:sz w:val="26"/>
          <w:szCs w:val="26"/>
        </w:rPr>
        <w:t>Grambsch</w:t>
      </w:r>
      <w:proofErr w:type="spellEnd"/>
      <w:r>
        <w:rPr>
          <w:rFonts w:ascii="Helvetica" w:hAnsi="Helvetica" w:cs="Helvetica"/>
          <w:sz w:val="26"/>
          <w:szCs w:val="26"/>
        </w:rPr>
        <w:t>, "Modeling Survival Data: Extending the Cox Model", Springer-</w:t>
      </w:r>
      <w:proofErr w:type="spellStart"/>
      <w:r>
        <w:rPr>
          <w:rFonts w:ascii="Helvetica" w:hAnsi="Helvetica" w:cs="Helvetica"/>
          <w:sz w:val="26"/>
          <w:szCs w:val="26"/>
        </w:rPr>
        <w:t>Verlag</w:t>
      </w:r>
      <w:proofErr w:type="spellEnd"/>
      <w:r>
        <w:rPr>
          <w:rFonts w:ascii="Helvetica" w:hAnsi="Helvetica" w:cs="Helvetica"/>
          <w:sz w:val="26"/>
          <w:szCs w:val="26"/>
        </w:rPr>
        <w:t>, New York, 2000. ISBN: 0-387-98784-3.</w:t>
      </w:r>
    </w:p>
    <w:p w:rsidR="00521A84" w:rsidRDefault="00521A84" w:rsidP="00521A84">
      <w:pPr>
        <w:widowControl w:val="0"/>
        <w:autoSpaceDE w:val="0"/>
        <w:autoSpaceDN w:val="0"/>
        <w:adjustRightInd w:val="0"/>
        <w:rPr>
          <w:rFonts w:ascii="Helvetica" w:hAnsi="Helvetica" w:cs="Helvetica"/>
          <w:b/>
          <w:bCs/>
          <w:color w:val="474747"/>
          <w:sz w:val="30"/>
          <w:szCs w:val="30"/>
        </w:rPr>
      </w:pPr>
      <w:r>
        <w:rPr>
          <w:rFonts w:ascii="Helvetica" w:hAnsi="Helvetica" w:cs="Helvetica"/>
          <w:b/>
          <w:bCs/>
          <w:color w:val="474747"/>
          <w:sz w:val="30"/>
          <w:szCs w:val="30"/>
        </w:rPr>
        <w:t>References</w:t>
      </w:r>
    </w:p>
    <w:p w:rsidR="002B65E3" w:rsidRDefault="00521A84" w:rsidP="00521A84">
      <w:proofErr w:type="spellStart"/>
      <w:r>
        <w:rPr>
          <w:rFonts w:ascii="Helvetica" w:hAnsi="Helvetica" w:cs="Helvetica"/>
          <w:sz w:val="26"/>
          <w:szCs w:val="26"/>
        </w:rPr>
        <w:t>Murtaugh</w:t>
      </w:r>
      <w:proofErr w:type="spellEnd"/>
      <w:r>
        <w:rPr>
          <w:rFonts w:ascii="Helvetica" w:hAnsi="Helvetica" w:cs="Helvetica"/>
          <w:sz w:val="26"/>
          <w:szCs w:val="26"/>
        </w:rPr>
        <w:t xml:space="preserve"> PA. Dickson ER. Van Dam GM. </w:t>
      </w:r>
      <w:proofErr w:type="spellStart"/>
      <w:r>
        <w:rPr>
          <w:rFonts w:ascii="Helvetica" w:hAnsi="Helvetica" w:cs="Helvetica"/>
          <w:sz w:val="26"/>
          <w:szCs w:val="26"/>
        </w:rPr>
        <w:t>Malinchoc</w:t>
      </w:r>
      <w:proofErr w:type="spellEnd"/>
      <w:r>
        <w:rPr>
          <w:rFonts w:ascii="Helvetica" w:hAnsi="Helvetica" w:cs="Helvetica"/>
          <w:sz w:val="26"/>
          <w:szCs w:val="26"/>
        </w:rPr>
        <w:t xml:space="preserve"> M. </w:t>
      </w:r>
      <w:proofErr w:type="spellStart"/>
      <w:r>
        <w:rPr>
          <w:rFonts w:ascii="Helvetica" w:hAnsi="Helvetica" w:cs="Helvetica"/>
          <w:sz w:val="26"/>
          <w:szCs w:val="26"/>
        </w:rPr>
        <w:t>Grambsch</w:t>
      </w:r>
      <w:proofErr w:type="spellEnd"/>
      <w:r>
        <w:rPr>
          <w:rFonts w:ascii="Helvetica" w:hAnsi="Helvetica" w:cs="Helvetica"/>
          <w:sz w:val="26"/>
          <w:szCs w:val="26"/>
        </w:rPr>
        <w:t xml:space="preserve"> PM. </w:t>
      </w:r>
      <w:proofErr w:type="spellStart"/>
      <w:r>
        <w:rPr>
          <w:rFonts w:ascii="Helvetica" w:hAnsi="Helvetica" w:cs="Helvetica"/>
          <w:sz w:val="26"/>
          <w:szCs w:val="26"/>
        </w:rPr>
        <w:t>Langworthy</w:t>
      </w:r>
      <w:proofErr w:type="spellEnd"/>
      <w:r>
        <w:rPr>
          <w:rFonts w:ascii="Helvetica" w:hAnsi="Helvetica" w:cs="Helvetica"/>
          <w:sz w:val="26"/>
          <w:szCs w:val="26"/>
        </w:rPr>
        <w:t xml:space="preserve"> AL. </w:t>
      </w:r>
      <w:proofErr w:type="spellStart"/>
      <w:r>
        <w:rPr>
          <w:rFonts w:ascii="Helvetica" w:hAnsi="Helvetica" w:cs="Helvetica"/>
          <w:sz w:val="26"/>
          <w:szCs w:val="26"/>
        </w:rPr>
        <w:t>Gips</w:t>
      </w:r>
      <w:proofErr w:type="spellEnd"/>
      <w:r>
        <w:rPr>
          <w:rFonts w:ascii="Helvetica" w:hAnsi="Helvetica" w:cs="Helvetica"/>
          <w:sz w:val="26"/>
          <w:szCs w:val="26"/>
        </w:rPr>
        <w:t xml:space="preserve"> CH. "Primary biliary cirrhosis: prediction of short-term survival based on repeated patient visits." </w:t>
      </w:r>
      <w:proofErr w:type="spellStart"/>
      <w:r>
        <w:rPr>
          <w:rFonts w:ascii="Helvetica" w:hAnsi="Helvetica" w:cs="Helvetica"/>
          <w:sz w:val="26"/>
          <w:szCs w:val="26"/>
        </w:rPr>
        <w:t>Hepatology</w:t>
      </w:r>
      <w:proofErr w:type="spellEnd"/>
      <w:r>
        <w:rPr>
          <w:rFonts w:ascii="Helvetica" w:hAnsi="Helvetica" w:cs="Helvetica"/>
          <w:sz w:val="26"/>
          <w:szCs w:val="26"/>
        </w:rPr>
        <w:t>. 20(1.1):126-34, 1994.</w:t>
      </w:r>
    </w:p>
    <w:sectPr w:rsidR="002B65E3" w:rsidSect="002B65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84"/>
    <w:rsid w:val="002B65E3"/>
    <w:rsid w:val="00521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34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2186</Characters>
  <Application>Microsoft Macintosh Word</Application>
  <DocSecurity>0</DocSecurity>
  <Lines>18</Lines>
  <Paragraphs>5</Paragraphs>
  <ScaleCrop>false</ScaleCrop>
  <Company>CUNY</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Waldron</dc:creator>
  <cp:keywords/>
  <dc:description/>
  <cp:lastModifiedBy>Levi Waldron</cp:lastModifiedBy>
  <cp:revision>1</cp:revision>
  <dcterms:created xsi:type="dcterms:W3CDTF">2014-10-29T19:22:00Z</dcterms:created>
  <dcterms:modified xsi:type="dcterms:W3CDTF">2014-10-29T19:24:00Z</dcterms:modified>
</cp:coreProperties>
</file>