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4AE" w:rsidRDefault="002174AE" w:rsidP="002174AE">
      <w:pPr>
        <w:spacing w:after="0" w:line="240" w:lineRule="auto"/>
        <w:ind w:left="6480"/>
        <w:contextualSpacing/>
      </w:pPr>
      <w:r>
        <w:t>Daniel Albright</w:t>
      </w:r>
    </w:p>
    <w:p w:rsidR="002174AE" w:rsidRDefault="002174AE" w:rsidP="002174AE">
      <w:pPr>
        <w:spacing w:after="0" w:line="240" w:lineRule="auto"/>
        <w:ind w:left="6480"/>
        <w:contextualSpacing/>
      </w:pPr>
      <w:r>
        <w:t>Semester Project</w:t>
      </w:r>
    </w:p>
    <w:p w:rsidR="002174AE" w:rsidRDefault="002174AE" w:rsidP="002174AE">
      <w:pPr>
        <w:spacing w:after="0" w:line="240" w:lineRule="auto"/>
        <w:ind w:left="6480"/>
        <w:contextualSpacing/>
      </w:pPr>
      <w:r>
        <w:t>Dr. Carmen Astorne-Figari</w:t>
      </w:r>
    </w:p>
    <w:p w:rsidR="00790319" w:rsidRDefault="00790319" w:rsidP="002174AE">
      <w:pPr>
        <w:spacing w:after="0" w:line="240" w:lineRule="auto"/>
        <w:ind w:left="6480"/>
        <w:contextualSpacing/>
      </w:pPr>
      <w:r>
        <w:t>May 8</w:t>
      </w:r>
      <w:r w:rsidRPr="00790319">
        <w:rPr>
          <w:vertAlign w:val="superscript"/>
        </w:rPr>
        <w:t>th</w:t>
      </w:r>
      <w:r>
        <w:t>, 2013</w:t>
      </w:r>
    </w:p>
    <w:p w:rsidR="00C9435A" w:rsidRDefault="00C9435A" w:rsidP="002174AE">
      <w:pPr>
        <w:spacing w:after="0" w:line="240" w:lineRule="auto"/>
        <w:ind w:left="6480"/>
        <w:contextualSpacing/>
      </w:pPr>
      <w:bookmarkStart w:id="0" w:name="_GoBack"/>
      <w:bookmarkEnd w:id="0"/>
    </w:p>
    <w:p w:rsidR="00336057" w:rsidRDefault="00FF0C3E" w:rsidP="00FF0C3E">
      <w:pPr>
        <w:pStyle w:val="Title"/>
      </w:pPr>
      <w:r>
        <w:t xml:space="preserve">The Impact of </w:t>
      </w:r>
      <w:r w:rsidR="00CA59E6">
        <w:t xml:space="preserve">Independence in </w:t>
      </w:r>
      <w:r>
        <w:t xml:space="preserve">Human </w:t>
      </w:r>
      <w:r w:rsidR="00CA59E6">
        <w:t>Behavior</w:t>
      </w:r>
      <w:r>
        <w:t xml:space="preserve"> in Evaluating Probability</w:t>
      </w:r>
    </w:p>
    <w:p w:rsidR="001D0E71" w:rsidRDefault="001D0E71" w:rsidP="00FF0C3E">
      <w:r>
        <w:t xml:space="preserve"> </w:t>
      </w:r>
      <w:r w:rsidR="00FF0C3E">
        <w:t>The goal of this project was to discover whether or not people who observe independence were able to better update their</w:t>
      </w:r>
      <w:r>
        <w:t xml:space="preserve"> beliefs than those who did not.</w:t>
      </w:r>
    </w:p>
    <w:tbl>
      <w:tblPr>
        <w:tblStyle w:val="TableGrid"/>
        <w:tblpPr w:leftFromText="187" w:rightFromText="187" w:vertAnchor="text" w:horzAnchor="margin" w:tblpXSpec="right" w:tblpY="54"/>
        <w:tblOverlap w:val="never"/>
        <w:tblW w:w="0" w:type="auto"/>
        <w:tblLook w:val="04A0" w:firstRow="1" w:lastRow="0" w:firstColumn="1" w:lastColumn="0" w:noHBand="0" w:noVBand="1"/>
      </w:tblPr>
      <w:tblGrid>
        <w:gridCol w:w="702"/>
        <w:gridCol w:w="936"/>
      </w:tblGrid>
      <w:tr w:rsidR="00367D04" w:rsidTr="00367D04">
        <w:tc>
          <w:tcPr>
            <w:tcW w:w="1638" w:type="dxa"/>
            <w:gridSpan w:val="2"/>
          </w:tcPr>
          <w:p w:rsidR="00367D04" w:rsidRPr="00367D04" w:rsidRDefault="00367D04" w:rsidP="00367D04">
            <w:pPr>
              <w:rPr>
                <w:b/>
              </w:rPr>
            </w:pPr>
            <w:r w:rsidRPr="00367D04">
              <w:rPr>
                <w:b/>
              </w:rPr>
              <w:t>Roulette Board</w:t>
            </w:r>
          </w:p>
        </w:tc>
      </w:tr>
      <w:tr w:rsidR="001D0E71" w:rsidTr="00367D04">
        <w:tc>
          <w:tcPr>
            <w:tcW w:w="702" w:type="dxa"/>
          </w:tcPr>
          <w:p w:rsidR="001D0E71" w:rsidRPr="00367D04" w:rsidRDefault="00367D04" w:rsidP="001D0E71">
            <w:pPr>
              <w:rPr>
                <w:b/>
              </w:rPr>
            </w:pPr>
            <w:r w:rsidRPr="00367D04">
              <w:rPr>
                <w:b/>
              </w:rPr>
              <w:t>#</w:t>
            </w:r>
          </w:p>
        </w:tc>
        <w:tc>
          <w:tcPr>
            <w:tcW w:w="936" w:type="dxa"/>
          </w:tcPr>
          <w:p w:rsidR="001D0E71" w:rsidRPr="00367D04" w:rsidRDefault="001D0E71" w:rsidP="001D0E71">
            <w:pPr>
              <w:rPr>
                <w:b/>
              </w:rPr>
            </w:pPr>
            <w:r w:rsidRPr="00367D04">
              <w:rPr>
                <w:b/>
              </w:rPr>
              <w:t>Color</w:t>
            </w:r>
          </w:p>
        </w:tc>
      </w:tr>
      <w:tr w:rsidR="001D0E71" w:rsidTr="00367D04">
        <w:tc>
          <w:tcPr>
            <w:tcW w:w="702" w:type="dxa"/>
          </w:tcPr>
          <w:p w:rsidR="001D0E71" w:rsidRDefault="001D0E71" w:rsidP="001D0E71">
            <w:r>
              <w:t>3</w:t>
            </w:r>
          </w:p>
        </w:tc>
        <w:tc>
          <w:tcPr>
            <w:tcW w:w="936" w:type="dxa"/>
          </w:tcPr>
          <w:p w:rsidR="001D0E71" w:rsidRDefault="001D0E71" w:rsidP="001D0E71">
            <w:r>
              <w:t>Red</w:t>
            </w:r>
          </w:p>
        </w:tc>
      </w:tr>
      <w:tr w:rsidR="001D0E71" w:rsidTr="00367D04">
        <w:tc>
          <w:tcPr>
            <w:tcW w:w="702" w:type="dxa"/>
          </w:tcPr>
          <w:p w:rsidR="001D0E71" w:rsidRDefault="001D0E71" w:rsidP="001D0E71">
            <w:r>
              <w:t>35</w:t>
            </w:r>
          </w:p>
        </w:tc>
        <w:tc>
          <w:tcPr>
            <w:tcW w:w="936" w:type="dxa"/>
          </w:tcPr>
          <w:p w:rsidR="001D0E71" w:rsidRDefault="001D0E71" w:rsidP="001D0E71">
            <w:r>
              <w:t>Black</w:t>
            </w:r>
          </w:p>
        </w:tc>
      </w:tr>
      <w:tr w:rsidR="001D0E71" w:rsidTr="00367D04">
        <w:tc>
          <w:tcPr>
            <w:tcW w:w="702" w:type="dxa"/>
          </w:tcPr>
          <w:p w:rsidR="001D0E71" w:rsidRDefault="001D0E71" w:rsidP="001D0E71">
            <w:r>
              <w:t>20</w:t>
            </w:r>
          </w:p>
        </w:tc>
        <w:tc>
          <w:tcPr>
            <w:tcW w:w="936" w:type="dxa"/>
          </w:tcPr>
          <w:p w:rsidR="001D0E71" w:rsidRDefault="001D0E71" w:rsidP="001D0E71">
            <w:r>
              <w:t>Red</w:t>
            </w:r>
          </w:p>
        </w:tc>
      </w:tr>
      <w:tr w:rsidR="001D0E71" w:rsidTr="00367D04">
        <w:tc>
          <w:tcPr>
            <w:tcW w:w="702" w:type="dxa"/>
          </w:tcPr>
          <w:p w:rsidR="001D0E71" w:rsidRDefault="001D0E71" w:rsidP="001D0E71">
            <w:r>
              <w:t>17</w:t>
            </w:r>
          </w:p>
        </w:tc>
        <w:tc>
          <w:tcPr>
            <w:tcW w:w="936" w:type="dxa"/>
          </w:tcPr>
          <w:p w:rsidR="001D0E71" w:rsidRDefault="001D0E71" w:rsidP="001D0E71">
            <w:r>
              <w:t>Red</w:t>
            </w:r>
          </w:p>
        </w:tc>
      </w:tr>
      <w:tr w:rsidR="001D0E71" w:rsidTr="00367D04">
        <w:tc>
          <w:tcPr>
            <w:tcW w:w="702" w:type="dxa"/>
          </w:tcPr>
          <w:p w:rsidR="001D0E71" w:rsidRDefault="001D0E71" w:rsidP="001D0E71">
            <w:r>
              <w:t>31</w:t>
            </w:r>
          </w:p>
        </w:tc>
        <w:tc>
          <w:tcPr>
            <w:tcW w:w="936" w:type="dxa"/>
          </w:tcPr>
          <w:p w:rsidR="001D0E71" w:rsidRDefault="001D0E71" w:rsidP="001D0E71">
            <w:r>
              <w:t>Black</w:t>
            </w:r>
          </w:p>
        </w:tc>
      </w:tr>
      <w:tr w:rsidR="001D0E71" w:rsidTr="00367D04">
        <w:tc>
          <w:tcPr>
            <w:tcW w:w="702" w:type="dxa"/>
          </w:tcPr>
          <w:p w:rsidR="001D0E71" w:rsidRDefault="001D0E71" w:rsidP="001D0E71">
            <w:r>
              <w:t>20</w:t>
            </w:r>
          </w:p>
        </w:tc>
        <w:tc>
          <w:tcPr>
            <w:tcW w:w="936" w:type="dxa"/>
          </w:tcPr>
          <w:p w:rsidR="001D0E71" w:rsidRDefault="001D0E71" w:rsidP="001D0E71">
            <w:r>
              <w:t>Red</w:t>
            </w:r>
          </w:p>
        </w:tc>
      </w:tr>
      <w:tr w:rsidR="001D0E71" w:rsidTr="00367D04">
        <w:tc>
          <w:tcPr>
            <w:tcW w:w="702" w:type="dxa"/>
          </w:tcPr>
          <w:p w:rsidR="001D0E71" w:rsidRDefault="001D0E71" w:rsidP="001D0E71">
            <w:r>
              <w:t>21</w:t>
            </w:r>
          </w:p>
        </w:tc>
        <w:tc>
          <w:tcPr>
            <w:tcW w:w="936" w:type="dxa"/>
          </w:tcPr>
          <w:p w:rsidR="001D0E71" w:rsidRDefault="001D0E71" w:rsidP="001D0E71">
            <w:r>
              <w:t>Red</w:t>
            </w:r>
          </w:p>
        </w:tc>
      </w:tr>
      <w:tr w:rsidR="001D0E71" w:rsidTr="00367D04">
        <w:tc>
          <w:tcPr>
            <w:tcW w:w="702" w:type="dxa"/>
          </w:tcPr>
          <w:p w:rsidR="001D0E71" w:rsidRDefault="001D0E71" w:rsidP="001D0E71">
            <w:r>
              <w:t>19</w:t>
            </w:r>
          </w:p>
        </w:tc>
        <w:tc>
          <w:tcPr>
            <w:tcW w:w="936" w:type="dxa"/>
          </w:tcPr>
          <w:p w:rsidR="001D0E71" w:rsidRDefault="001D0E71" w:rsidP="001D0E71">
            <w:r>
              <w:t>Red</w:t>
            </w:r>
          </w:p>
        </w:tc>
      </w:tr>
      <w:tr w:rsidR="001D0E71" w:rsidTr="00367D04">
        <w:tc>
          <w:tcPr>
            <w:tcW w:w="702" w:type="dxa"/>
          </w:tcPr>
          <w:p w:rsidR="001D0E71" w:rsidRDefault="001D0E71" w:rsidP="001D0E71">
            <w:r>
              <w:t>9</w:t>
            </w:r>
          </w:p>
        </w:tc>
        <w:tc>
          <w:tcPr>
            <w:tcW w:w="936" w:type="dxa"/>
          </w:tcPr>
          <w:p w:rsidR="001D0E71" w:rsidRDefault="001D0E71" w:rsidP="001D0E71">
            <w:r>
              <w:t>Red</w:t>
            </w:r>
          </w:p>
        </w:tc>
      </w:tr>
      <w:tr w:rsidR="001D0E71" w:rsidTr="00367D04">
        <w:tc>
          <w:tcPr>
            <w:tcW w:w="702" w:type="dxa"/>
          </w:tcPr>
          <w:p w:rsidR="001D0E71" w:rsidRDefault="001D0E71" w:rsidP="001D0E71">
            <w:r>
              <w:t>25</w:t>
            </w:r>
          </w:p>
        </w:tc>
        <w:tc>
          <w:tcPr>
            <w:tcW w:w="936" w:type="dxa"/>
          </w:tcPr>
          <w:p w:rsidR="001D0E71" w:rsidRDefault="001D0E71" w:rsidP="001D0E71">
            <w:r>
              <w:t>Black</w:t>
            </w:r>
          </w:p>
        </w:tc>
      </w:tr>
    </w:tbl>
    <w:p w:rsidR="001D0E71" w:rsidRDefault="00F45F79" w:rsidP="00FF0C3E">
      <w:r w:rsidRPr="00CA59E6">
        <w:drawing>
          <wp:anchor distT="0" distB="0" distL="114300" distR="114300" simplePos="0" relativeHeight="251659264" behindDoc="0" locked="0" layoutInCell="1" allowOverlap="1" wp14:anchorId="6618B329" wp14:editId="5C9E0967">
            <wp:simplePos x="0" y="0"/>
            <wp:positionH relativeFrom="column">
              <wp:posOffset>847090</wp:posOffset>
            </wp:positionH>
            <wp:positionV relativeFrom="paragraph">
              <wp:posOffset>3063240</wp:posOffset>
            </wp:positionV>
            <wp:extent cx="4260850" cy="3099435"/>
            <wp:effectExtent l="171450" t="171450" r="387350" b="367665"/>
            <wp:wrapTopAndBottom/>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60850" cy="30994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D0E71">
        <w:t xml:space="preserve">We controlled for independence by presenting the subject with a board from a game of roulette similar to the ones displayed in casinos. It showed the last ten results of the wheel. In fact, casinos put this board into place specifically for people who do not observe independence. </w:t>
      </w:r>
      <w:r w:rsidR="00367D04">
        <w:t xml:space="preserve">We then ask the subject to choose Black or Red. We are unconcerned with a specific number and are strictly interested in the subject’s observance of the color they choose as it’s a 50/50 probability. Then we ask her why she chose the color she did. The can answer from among (A) Red. “It is clearly trending.” (B) Black. “It hasn’t come up in awhile.” (C) “I chose randomly.” Or (D) “I don’t know” or “I don’t care.” If the subject answers A. or B. it is an indicator that she does not observe independence and we categorize her as such. If she chooses C. or D. then </w:t>
      </w:r>
      <w:r w:rsidR="00CA59E6">
        <w:t xml:space="preserve">we </w:t>
      </w:r>
      <w:r w:rsidR="00367D04">
        <w:t>categorize her as observing independence</w:t>
      </w:r>
      <w:r w:rsidR="00CA59E6">
        <w:t xml:space="preserve">. D. We may prequalify D. as an indicator of independence because it doesn’t matter whether the subject </w:t>
      </w:r>
      <w:r w:rsidR="00CA59E6">
        <w:rPr>
          <w:i/>
        </w:rPr>
        <w:t>knows</w:t>
      </w:r>
      <w:r w:rsidR="00CA59E6">
        <w:t xml:space="preserve"> about or is </w:t>
      </w:r>
      <w:r w:rsidR="00CA59E6">
        <w:rPr>
          <w:i/>
        </w:rPr>
        <w:t>conscious</w:t>
      </w:r>
      <w:r w:rsidR="00CA59E6">
        <w:t xml:space="preserve"> of her observance independence, only that she acts in such a way.</w:t>
      </w:r>
      <w:r>
        <w:t xml:space="preserve"> Roughly two-thirds of our sample chose the first two answers as for their reason in choosing their color.</w:t>
      </w:r>
    </w:p>
    <w:p w:rsidR="00F45F79" w:rsidRDefault="00F45F79" w:rsidP="00FF0C3E"/>
    <w:p w:rsidR="00F45F79" w:rsidRDefault="00CA59E6" w:rsidP="00F45F79">
      <w:r>
        <w:t>We chose this method of eliciting the subject’s independence of actions in part because the probabilities matched the main experiment.</w:t>
      </w:r>
    </w:p>
    <w:p w:rsidR="00FF0C3E" w:rsidRDefault="00CA59E6" w:rsidP="00F45F79">
      <w:r>
        <w:t>The experiment followed</w:t>
      </w:r>
      <w:r w:rsidR="008F79E6">
        <w:t xml:space="preserve"> this</w:t>
      </w:r>
      <w:r w:rsidR="00F947D6">
        <w:t>.</w:t>
      </w:r>
      <w:r w:rsidR="00F45F79">
        <w:t xml:space="preserve"> </w:t>
      </w:r>
      <w:r w:rsidR="008F79E6">
        <w:t>Under</w:t>
      </w:r>
      <w:r w:rsidR="00F947D6">
        <w:t xml:space="preserve"> it, </w:t>
      </w:r>
      <w:r w:rsidR="001D0E71">
        <w:t xml:space="preserve">we </w:t>
      </w:r>
      <w:r w:rsidR="00F947D6">
        <w:t>directed</w:t>
      </w:r>
      <w:r w:rsidR="001D0E71">
        <w:t xml:space="preserve"> the subject </w:t>
      </w:r>
      <w:r w:rsidR="00F947D6">
        <w:t xml:space="preserve">to correctly guess the outcomes from </w:t>
      </w:r>
      <w:r w:rsidR="001D0E71">
        <w:t>a device</w:t>
      </w:r>
      <w:r w:rsidR="00F947D6">
        <w:t xml:space="preserve"> with a binary sample space, a coin,</w:t>
      </w:r>
      <w:r w:rsidR="001D0E71">
        <w:t xml:space="preserve"> </w:t>
      </w:r>
      <w:r w:rsidR="00F947D6">
        <w:t>whose</w:t>
      </w:r>
      <w:r w:rsidR="001D0E71">
        <w:t xml:space="preserve"> probabilities</w:t>
      </w:r>
      <w:r w:rsidR="00F947D6">
        <w:t xml:space="preserve"> were unknown to them. In fact, the coin’s weight was set to 75% weighted towards the Heads side. There would be </w:t>
      </w:r>
      <w:r w:rsidR="008F79E6">
        <w:t>twenty</w:t>
      </w:r>
      <w:r w:rsidR="00F947D6">
        <w:t xml:space="preserve"> repeated </w:t>
      </w:r>
      <w:r w:rsidR="008F79E6">
        <w:t xml:space="preserve">coin </w:t>
      </w:r>
      <w:r w:rsidR="00F947D6">
        <w:t>flips in which they were to call (guess) the flip (</w:t>
      </w:r>
      <w:r w:rsidR="00F947D6">
        <w:t>result</w:t>
      </w:r>
      <w:r w:rsidR="00F947D6">
        <w:t>) of the coin (the device). The results presented were the same given to everyone</w:t>
      </w:r>
      <w:r w:rsidR="008F79E6">
        <w:t>. T</w:t>
      </w:r>
      <w:r w:rsidR="00F947D6">
        <w:t>o avoid variance in the x-bar</w:t>
      </w:r>
      <w:r w:rsidR="008F79E6">
        <w:t xml:space="preserve"> and among the sequence output, we set the x-bar of the sequential outcomes presented to equal</w:t>
      </w:r>
      <w:r w:rsidR="00F947D6">
        <w:t xml:space="preserve"> </w:t>
      </w:r>
      <w:r w:rsidR="008F79E6">
        <w:t>the mean. So in total there were 15 Heads and 5 Tails among the twenty outcomes presented to the subject and those sequences were identical and are shown below.</w:t>
      </w:r>
    </w:p>
    <w:tbl>
      <w:tblPr>
        <w:tblStyle w:val="TableGrid"/>
        <w:tblpPr w:leftFromText="180" w:rightFromText="180" w:vertAnchor="text" w:horzAnchor="margin" w:tblpY="131"/>
        <w:tblW w:w="0" w:type="auto"/>
        <w:tblLook w:val="04A0" w:firstRow="1" w:lastRow="0" w:firstColumn="1" w:lastColumn="0" w:noHBand="0" w:noVBand="1"/>
      </w:tblPr>
      <w:tblGrid>
        <w:gridCol w:w="788"/>
        <w:gridCol w:w="427"/>
        <w:gridCol w:w="427"/>
        <w:gridCol w:w="419"/>
        <w:gridCol w:w="427"/>
        <w:gridCol w:w="427"/>
        <w:gridCol w:w="419"/>
        <w:gridCol w:w="427"/>
        <w:gridCol w:w="427"/>
        <w:gridCol w:w="427"/>
        <w:gridCol w:w="451"/>
        <w:gridCol w:w="451"/>
        <w:gridCol w:w="451"/>
        <w:gridCol w:w="451"/>
        <w:gridCol w:w="451"/>
        <w:gridCol w:w="451"/>
        <w:gridCol w:w="451"/>
        <w:gridCol w:w="451"/>
        <w:gridCol w:w="451"/>
        <w:gridCol w:w="451"/>
        <w:gridCol w:w="451"/>
      </w:tblGrid>
      <w:tr w:rsidR="008F79E6" w:rsidTr="008F79E6">
        <w:tc>
          <w:tcPr>
            <w:tcW w:w="788" w:type="dxa"/>
          </w:tcPr>
          <w:p w:rsidR="008F79E6" w:rsidRPr="00F45F79" w:rsidRDefault="008F79E6" w:rsidP="008F79E6">
            <w:pPr>
              <w:rPr>
                <w:b/>
              </w:rPr>
            </w:pPr>
            <w:r w:rsidRPr="00F45F79">
              <w:rPr>
                <w:b/>
              </w:rPr>
              <w:t>Flip</w:t>
            </w:r>
            <w:r>
              <w:rPr>
                <w:b/>
              </w:rPr>
              <w:t xml:space="preserve"> #</w:t>
            </w:r>
          </w:p>
        </w:tc>
        <w:tc>
          <w:tcPr>
            <w:tcW w:w="427" w:type="dxa"/>
          </w:tcPr>
          <w:p w:rsidR="008F79E6" w:rsidRPr="008F79E6" w:rsidRDefault="008F79E6" w:rsidP="008F79E6">
            <w:pPr>
              <w:jc w:val="center"/>
              <w:rPr>
                <w:b/>
              </w:rPr>
            </w:pPr>
            <w:r w:rsidRPr="008F79E6">
              <w:rPr>
                <w:b/>
              </w:rPr>
              <w:t>1</w:t>
            </w:r>
          </w:p>
        </w:tc>
        <w:tc>
          <w:tcPr>
            <w:tcW w:w="427" w:type="dxa"/>
          </w:tcPr>
          <w:p w:rsidR="008F79E6" w:rsidRPr="008F79E6" w:rsidRDefault="008F79E6" w:rsidP="008F79E6">
            <w:pPr>
              <w:jc w:val="center"/>
              <w:rPr>
                <w:b/>
              </w:rPr>
            </w:pPr>
            <w:r w:rsidRPr="008F79E6">
              <w:rPr>
                <w:b/>
              </w:rPr>
              <w:t>2</w:t>
            </w:r>
          </w:p>
        </w:tc>
        <w:tc>
          <w:tcPr>
            <w:tcW w:w="419" w:type="dxa"/>
          </w:tcPr>
          <w:p w:rsidR="008F79E6" w:rsidRPr="008F79E6" w:rsidRDefault="008F79E6" w:rsidP="008F79E6">
            <w:pPr>
              <w:jc w:val="center"/>
              <w:rPr>
                <w:b/>
              </w:rPr>
            </w:pPr>
            <w:r w:rsidRPr="008F79E6">
              <w:rPr>
                <w:b/>
              </w:rPr>
              <w:t>3</w:t>
            </w:r>
          </w:p>
        </w:tc>
        <w:tc>
          <w:tcPr>
            <w:tcW w:w="427" w:type="dxa"/>
          </w:tcPr>
          <w:p w:rsidR="008F79E6" w:rsidRPr="008F79E6" w:rsidRDefault="008F79E6" w:rsidP="008F79E6">
            <w:pPr>
              <w:jc w:val="center"/>
              <w:rPr>
                <w:b/>
              </w:rPr>
            </w:pPr>
            <w:r w:rsidRPr="008F79E6">
              <w:rPr>
                <w:b/>
              </w:rPr>
              <w:t>4</w:t>
            </w:r>
          </w:p>
        </w:tc>
        <w:tc>
          <w:tcPr>
            <w:tcW w:w="427" w:type="dxa"/>
          </w:tcPr>
          <w:p w:rsidR="008F79E6" w:rsidRPr="008F79E6" w:rsidRDefault="008F79E6" w:rsidP="008F79E6">
            <w:pPr>
              <w:jc w:val="center"/>
              <w:rPr>
                <w:b/>
              </w:rPr>
            </w:pPr>
            <w:r w:rsidRPr="008F79E6">
              <w:rPr>
                <w:b/>
              </w:rPr>
              <w:t>5</w:t>
            </w:r>
          </w:p>
        </w:tc>
        <w:tc>
          <w:tcPr>
            <w:tcW w:w="419" w:type="dxa"/>
          </w:tcPr>
          <w:p w:rsidR="008F79E6" w:rsidRPr="008F79E6" w:rsidRDefault="008F79E6" w:rsidP="008F79E6">
            <w:pPr>
              <w:jc w:val="center"/>
              <w:rPr>
                <w:b/>
              </w:rPr>
            </w:pPr>
            <w:r w:rsidRPr="008F79E6">
              <w:rPr>
                <w:b/>
              </w:rPr>
              <w:t>6</w:t>
            </w:r>
          </w:p>
        </w:tc>
        <w:tc>
          <w:tcPr>
            <w:tcW w:w="427" w:type="dxa"/>
          </w:tcPr>
          <w:p w:rsidR="008F79E6" w:rsidRPr="008F79E6" w:rsidRDefault="008F79E6" w:rsidP="008F79E6">
            <w:pPr>
              <w:jc w:val="center"/>
              <w:rPr>
                <w:b/>
              </w:rPr>
            </w:pPr>
            <w:r w:rsidRPr="008F79E6">
              <w:rPr>
                <w:b/>
              </w:rPr>
              <w:t>7</w:t>
            </w:r>
          </w:p>
        </w:tc>
        <w:tc>
          <w:tcPr>
            <w:tcW w:w="427" w:type="dxa"/>
          </w:tcPr>
          <w:p w:rsidR="008F79E6" w:rsidRPr="008F79E6" w:rsidRDefault="008F79E6" w:rsidP="008F79E6">
            <w:pPr>
              <w:jc w:val="center"/>
              <w:rPr>
                <w:b/>
              </w:rPr>
            </w:pPr>
            <w:r w:rsidRPr="008F79E6">
              <w:rPr>
                <w:b/>
              </w:rPr>
              <w:t>8</w:t>
            </w:r>
          </w:p>
        </w:tc>
        <w:tc>
          <w:tcPr>
            <w:tcW w:w="427" w:type="dxa"/>
          </w:tcPr>
          <w:p w:rsidR="008F79E6" w:rsidRPr="008F79E6" w:rsidRDefault="008F79E6" w:rsidP="008F79E6">
            <w:pPr>
              <w:jc w:val="center"/>
              <w:rPr>
                <w:b/>
              </w:rPr>
            </w:pPr>
            <w:r w:rsidRPr="008F79E6">
              <w:rPr>
                <w:b/>
              </w:rPr>
              <w:t>9</w:t>
            </w:r>
          </w:p>
        </w:tc>
        <w:tc>
          <w:tcPr>
            <w:tcW w:w="451" w:type="dxa"/>
          </w:tcPr>
          <w:p w:rsidR="008F79E6" w:rsidRPr="008F79E6" w:rsidRDefault="008F79E6" w:rsidP="008F79E6">
            <w:pPr>
              <w:jc w:val="center"/>
              <w:rPr>
                <w:b/>
              </w:rPr>
            </w:pPr>
            <w:r w:rsidRPr="008F79E6">
              <w:rPr>
                <w:b/>
              </w:rPr>
              <w:t>10</w:t>
            </w:r>
          </w:p>
        </w:tc>
        <w:tc>
          <w:tcPr>
            <w:tcW w:w="451" w:type="dxa"/>
          </w:tcPr>
          <w:p w:rsidR="008F79E6" w:rsidRPr="008F79E6" w:rsidRDefault="008F79E6" w:rsidP="008F79E6">
            <w:pPr>
              <w:jc w:val="center"/>
              <w:rPr>
                <w:b/>
              </w:rPr>
            </w:pPr>
            <w:r w:rsidRPr="008F79E6">
              <w:rPr>
                <w:b/>
              </w:rPr>
              <w:t>11</w:t>
            </w:r>
          </w:p>
        </w:tc>
        <w:tc>
          <w:tcPr>
            <w:tcW w:w="451" w:type="dxa"/>
          </w:tcPr>
          <w:p w:rsidR="008F79E6" w:rsidRPr="008F79E6" w:rsidRDefault="008F79E6" w:rsidP="008F79E6">
            <w:pPr>
              <w:jc w:val="center"/>
              <w:rPr>
                <w:b/>
              </w:rPr>
            </w:pPr>
            <w:r w:rsidRPr="008F79E6">
              <w:rPr>
                <w:b/>
              </w:rPr>
              <w:t>12</w:t>
            </w:r>
          </w:p>
        </w:tc>
        <w:tc>
          <w:tcPr>
            <w:tcW w:w="451" w:type="dxa"/>
          </w:tcPr>
          <w:p w:rsidR="008F79E6" w:rsidRPr="008F79E6" w:rsidRDefault="008F79E6" w:rsidP="008F79E6">
            <w:pPr>
              <w:jc w:val="center"/>
              <w:rPr>
                <w:b/>
              </w:rPr>
            </w:pPr>
            <w:r w:rsidRPr="008F79E6">
              <w:rPr>
                <w:b/>
              </w:rPr>
              <w:t>13</w:t>
            </w:r>
          </w:p>
        </w:tc>
        <w:tc>
          <w:tcPr>
            <w:tcW w:w="451" w:type="dxa"/>
          </w:tcPr>
          <w:p w:rsidR="008F79E6" w:rsidRPr="008F79E6" w:rsidRDefault="008F79E6" w:rsidP="008F79E6">
            <w:pPr>
              <w:jc w:val="center"/>
              <w:rPr>
                <w:b/>
              </w:rPr>
            </w:pPr>
            <w:r w:rsidRPr="008F79E6">
              <w:rPr>
                <w:b/>
              </w:rPr>
              <w:t>14</w:t>
            </w:r>
          </w:p>
        </w:tc>
        <w:tc>
          <w:tcPr>
            <w:tcW w:w="451" w:type="dxa"/>
          </w:tcPr>
          <w:p w:rsidR="008F79E6" w:rsidRPr="008F79E6" w:rsidRDefault="008F79E6" w:rsidP="008F79E6">
            <w:pPr>
              <w:jc w:val="center"/>
              <w:rPr>
                <w:b/>
              </w:rPr>
            </w:pPr>
            <w:r w:rsidRPr="008F79E6">
              <w:rPr>
                <w:b/>
              </w:rPr>
              <w:t>15</w:t>
            </w:r>
          </w:p>
        </w:tc>
        <w:tc>
          <w:tcPr>
            <w:tcW w:w="451" w:type="dxa"/>
          </w:tcPr>
          <w:p w:rsidR="008F79E6" w:rsidRPr="008F79E6" w:rsidRDefault="008F79E6" w:rsidP="008F79E6">
            <w:pPr>
              <w:jc w:val="center"/>
              <w:rPr>
                <w:b/>
              </w:rPr>
            </w:pPr>
            <w:r w:rsidRPr="008F79E6">
              <w:rPr>
                <w:b/>
              </w:rPr>
              <w:t>16</w:t>
            </w:r>
          </w:p>
        </w:tc>
        <w:tc>
          <w:tcPr>
            <w:tcW w:w="451" w:type="dxa"/>
          </w:tcPr>
          <w:p w:rsidR="008F79E6" w:rsidRPr="008F79E6" w:rsidRDefault="008F79E6" w:rsidP="008F79E6">
            <w:pPr>
              <w:jc w:val="center"/>
              <w:rPr>
                <w:b/>
              </w:rPr>
            </w:pPr>
            <w:r w:rsidRPr="008F79E6">
              <w:rPr>
                <w:b/>
              </w:rPr>
              <w:t>17</w:t>
            </w:r>
          </w:p>
        </w:tc>
        <w:tc>
          <w:tcPr>
            <w:tcW w:w="451" w:type="dxa"/>
          </w:tcPr>
          <w:p w:rsidR="008F79E6" w:rsidRPr="008F79E6" w:rsidRDefault="008F79E6" w:rsidP="008F79E6">
            <w:pPr>
              <w:jc w:val="center"/>
              <w:rPr>
                <w:b/>
              </w:rPr>
            </w:pPr>
            <w:r w:rsidRPr="008F79E6">
              <w:rPr>
                <w:b/>
              </w:rPr>
              <w:t>18</w:t>
            </w:r>
          </w:p>
        </w:tc>
        <w:tc>
          <w:tcPr>
            <w:tcW w:w="451" w:type="dxa"/>
          </w:tcPr>
          <w:p w:rsidR="008F79E6" w:rsidRPr="008F79E6" w:rsidRDefault="008F79E6" w:rsidP="008F79E6">
            <w:pPr>
              <w:jc w:val="center"/>
              <w:rPr>
                <w:b/>
              </w:rPr>
            </w:pPr>
            <w:r w:rsidRPr="008F79E6">
              <w:rPr>
                <w:b/>
              </w:rPr>
              <w:t>19</w:t>
            </w:r>
          </w:p>
        </w:tc>
        <w:tc>
          <w:tcPr>
            <w:tcW w:w="451" w:type="dxa"/>
          </w:tcPr>
          <w:p w:rsidR="008F79E6" w:rsidRPr="008F79E6" w:rsidRDefault="008F79E6" w:rsidP="008F79E6">
            <w:pPr>
              <w:jc w:val="center"/>
              <w:rPr>
                <w:b/>
              </w:rPr>
            </w:pPr>
            <w:r w:rsidRPr="008F79E6">
              <w:rPr>
                <w:b/>
              </w:rPr>
              <w:t>20</w:t>
            </w:r>
          </w:p>
        </w:tc>
      </w:tr>
      <w:tr w:rsidR="008F79E6" w:rsidTr="008F79E6">
        <w:tc>
          <w:tcPr>
            <w:tcW w:w="788" w:type="dxa"/>
          </w:tcPr>
          <w:p w:rsidR="008F79E6" w:rsidRPr="00F45F79" w:rsidRDefault="008F79E6" w:rsidP="008F79E6">
            <w:pPr>
              <w:rPr>
                <w:b/>
              </w:rPr>
            </w:pPr>
            <w:r w:rsidRPr="00F45F79">
              <w:rPr>
                <w:b/>
              </w:rPr>
              <w:t>Result</w:t>
            </w:r>
          </w:p>
        </w:tc>
        <w:tc>
          <w:tcPr>
            <w:tcW w:w="427" w:type="dxa"/>
          </w:tcPr>
          <w:p w:rsidR="008F79E6" w:rsidRDefault="008F79E6" w:rsidP="008F79E6">
            <w:pPr>
              <w:jc w:val="center"/>
            </w:pPr>
            <w:r>
              <w:t>H</w:t>
            </w:r>
          </w:p>
        </w:tc>
        <w:tc>
          <w:tcPr>
            <w:tcW w:w="427" w:type="dxa"/>
          </w:tcPr>
          <w:p w:rsidR="008F79E6" w:rsidRDefault="008F79E6" w:rsidP="008F79E6">
            <w:pPr>
              <w:jc w:val="center"/>
            </w:pPr>
            <w:r>
              <w:t>H</w:t>
            </w:r>
          </w:p>
        </w:tc>
        <w:tc>
          <w:tcPr>
            <w:tcW w:w="419" w:type="dxa"/>
          </w:tcPr>
          <w:p w:rsidR="008F79E6" w:rsidRPr="008F79E6" w:rsidRDefault="008F79E6" w:rsidP="008F79E6">
            <w:pPr>
              <w:jc w:val="center"/>
              <w:rPr>
                <w:b/>
              </w:rPr>
            </w:pPr>
            <w:r w:rsidRPr="008F79E6">
              <w:rPr>
                <w:b/>
              </w:rPr>
              <w:t>T</w:t>
            </w:r>
          </w:p>
        </w:tc>
        <w:tc>
          <w:tcPr>
            <w:tcW w:w="427" w:type="dxa"/>
          </w:tcPr>
          <w:p w:rsidR="008F79E6" w:rsidRDefault="008F79E6" w:rsidP="008F79E6">
            <w:pPr>
              <w:jc w:val="center"/>
            </w:pPr>
            <w:r>
              <w:t>H</w:t>
            </w:r>
          </w:p>
        </w:tc>
        <w:tc>
          <w:tcPr>
            <w:tcW w:w="427" w:type="dxa"/>
          </w:tcPr>
          <w:p w:rsidR="008F79E6" w:rsidRDefault="008F79E6" w:rsidP="008F79E6">
            <w:pPr>
              <w:jc w:val="center"/>
            </w:pPr>
            <w:r>
              <w:t>H</w:t>
            </w:r>
          </w:p>
        </w:tc>
        <w:tc>
          <w:tcPr>
            <w:tcW w:w="419" w:type="dxa"/>
          </w:tcPr>
          <w:p w:rsidR="008F79E6" w:rsidRPr="008F79E6" w:rsidRDefault="008F79E6" w:rsidP="008F79E6">
            <w:pPr>
              <w:jc w:val="center"/>
              <w:rPr>
                <w:b/>
              </w:rPr>
            </w:pPr>
            <w:r w:rsidRPr="008F79E6">
              <w:rPr>
                <w:b/>
              </w:rPr>
              <w:t>T</w:t>
            </w:r>
          </w:p>
        </w:tc>
        <w:tc>
          <w:tcPr>
            <w:tcW w:w="427" w:type="dxa"/>
          </w:tcPr>
          <w:p w:rsidR="008F79E6" w:rsidRDefault="008F79E6" w:rsidP="008F79E6">
            <w:pPr>
              <w:jc w:val="center"/>
            </w:pPr>
            <w:r>
              <w:t>H</w:t>
            </w:r>
          </w:p>
        </w:tc>
        <w:tc>
          <w:tcPr>
            <w:tcW w:w="427" w:type="dxa"/>
          </w:tcPr>
          <w:p w:rsidR="008F79E6" w:rsidRDefault="008F79E6" w:rsidP="008F79E6">
            <w:pPr>
              <w:jc w:val="center"/>
            </w:pPr>
            <w:r>
              <w:t>H</w:t>
            </w:r>
          </w:p>
        </w:tc>
        <w:tc>
          <w:tcPr>
            <w:tcW w:w="427" w:type="dxa"/>
          </w:tcPr>
          <w:p w:rsidR="008F79E6" w:rsidRDefault="008F79E6" w:rsidP="008F79E6">
            <w:pPr>
              <w:jc w:val="center"/>
            </w:pPr>
            <w:r>
              <w:t>H</w:t>
            </w:r>
          </w:p>
        </w:tc>
        <w:tc>
          <w:tcPr>
            <w:tcW w:w="451" w:type="dxa"/>
          </w:tcPr>
          <w:p w:rsidR="008F79E6" w:rsidRDefault="008F79E6" w:rsidP="008F79E6">
            <w:pPr>
              <w:jc w:val="center"/>
            </w:pPr>
            <w:r>
              <w:t>H</w:t>
            </w:r>
          </w:p>
        </w:tc>
        <w:tc>
          <w:tcPr>
            <w:tcW w:w="451" w:type="dxa"/>
          </w:tcPr>
          <w:p w:rsidR="008F79E6" w:rsidRPr="008F79E6" w:rsidRDefault="008F79E6" w:rsidP="008F79E6">
            <w:pPr>
              <w:jc w:val="center"/>
              <w:rPr>
                <w:b/>
              </w:rPr>
            </w:pPr>
            <w:r w:rsidRPr="008F79E6">
              <w:rPr>
                <w:b/>
              </w:rPr>
              <w:t>T</w:t>
            </w:r>
          </w:p>
        </w:tc>
        <w:tc>
          <w:tcPr>
            <w:tcW w:w="451" w:type="dxa"/>
          </w:tcPr>
          <w:p w:rsidR="008F79E6" w:rsidRDefault="008F79E6" w:rsidP="008F79E6">
            <w:pPr>
              <w:jc w:val="center"/>
            </w:pPr>
            <w:r>
              <w:t>H</w:t>
            </w:r>
          </w:p>
        </w:tc>
        <w:tc>
          <w:tcPr>
            <w:tcW w:w="451" w:type="dxa"/>
          </w:tcPr>
          <w:p w:rsidR="008F79E6" w:rsidRPr="008F79E6" w:rsidRDefault="008F79E6" w:rsidP="008F79E6">
            <w:pPr>
              <w:jc w:val="center"/>
              <w:rPr>
                <w:b/>
              </w:rPr>
            </w:pPr>
            <w:r w:rsidRPr="008F79E6">
              <w:rPr>
                <w:b/>
              </w:rPr>
              <w:t>T</w:t>
            </w:r>
          </w:p>
        </w:tc>
        <w:tc>
          <w:tcPr>
            <w:tcW w:w="451" w:type="dxa"/>
          </w:tcPr>
          <w:p w:rsidR="008F79E6" w:rsidRDefault="008F79E6" w:rsidP="008F79E6">
            <w:pPr>
              <w:jc w:val="center"/>
            </w:pPr>
            <w:r>
              <w:t>H</w:t>
            </w:r>
          </w:p>
        </w:tc>
        <w:tc>
          <w:tcPr>
            <w:tcW w:w="451" w:type="dxa"/>
          </w:tcPr>
          <w:p w:rsidR="008F79E6" w:rsidRDefault="008F79E6" w:rsidP="008F79E6">
            <w:pPr>
              <w:jc w:val="center"/>
            </w:pPr>
            <w:r>
              <w:t>H</w:t>
            </w:r>
          </w:p>
        </w:tc>
        <w:tc>
          <w:tcPr>
            <w:tcW w:w="451" w:type="dxa"/>
          </w:tcPr>
          <w:p w:rsidR="008F79E6" w:rsidRDefault="008F79E6" w:rsidP="008F79E6">
            <w:pPr>
              <w:jc w:val="center"/>
            </w:pPr>
            <w:r>
              <w:t>H</w:t>
            </w:r>
          </w:p>
        </w:tc>
        <w:tc>
          <w:tcPr>
            <w:tcW w:w="451" w:type="dxa"/>
          </w:tcPr>
          <w:p w:rsidR="008F79E6" w:rsidRPr="008F79E6" w:rsidRDefault="008F79E6" w:rsidP="008F79E6">
            <w:pPr>
              <w:jc w:val="center"/>
              <w:rPr>
                <w:b/>
              </w:rPr>
            </w:pPr>
            <w:r w:rsidRPr="008F79E6">
              <w:rPr>
                <w:b/>
              </w:rPr>
              <w:t>T</w:t>
            </w:r>
          </w:p>
        </w:tc>
        <w:tc>
          <w:tcPr>
            <w:tcW w:w="451" w:type="dxa"/>
          </w:tcPr>
          <w:p w:rsidR="008F79E6" w:rsidRDefault="008F79E6" w:rsidP="008F79E6">
            <w:pPr>
              <w:jc w:val="center"/>
            </w:pPr>
            <w:r>
              <w:t>H</w:t>
            </w:r>
          </w:p>
        </w:tc>
        <w:tc>
          <w:tcPr>
            <w:tcW w:w="451" w:type="dxa"/>
          </w:tcPr>
          <w:p w:rsidR="008F79E6" w:rsidRDefault="008F79E6" w:rsidP="008F79E6">
            <w:pPr>
              <w:jc w:val="center"/>
            </w:pPr>
            <w:r>
              <w:t>H</w:t>
            </w:r>
          </w:p>
        </w:tc>
        <w:tc>
          <w:tcPr>
            <w:tcW w:w="451" w:type="dxa"/>
          </w:tcPr>
          <w:p w:rsidR="008F79E6" w:rsidRDefault="008F79E6" w:rsidP="008F79E6">
            <w:pPr>
              <w:jc w:val="center"/>
            </w:pPr>
            <w:r>
              <w:t>H</w:t>
            </w:r>
          </w:p>
        </w:tc>
      </w:tr>
    </w:tbl>
    <w:p w:rsidR="00CA59E6" w:rsidRDefault="00CA59E6" w:rsidP="00FF0C3E"/>
    <w:p w:rsidR="008F79E6" w:rsidRDefault="008F79E6" w:rsidP="00FF0C3E">
      <w:r>
        <w:t xml:space="preserve">This sequence of outcomes would occur in a </w:t>
      </w:r>
      <w:r>
        <w:rPr>
          <w:i/>
        </w:rPr>
        <w:t>fair</w:t>
      </w:r>
      <w:r>
        <w:t xml:space="preserve"> coin only about 2% of the time. Yet, among the cross section of the sample, the </w:t>
      </w:r>
      <w:r w:rsidR="004D78A9">
        <w:t>observance of a bias towards</w:t>
      </w:r>
      <w:r>
        <w:t xml:space="preserve"> </w:t>
      </w:r>
      <w:r w:rsidR="004D78A9">
        <w:t xml:space="preserve">Heads </w:t>
      </w:r>
      <w:r>
        <w:t xml:space="preserve">was not </w:t>
      </w:r>
      <w:r w:rsidR="004D78A9">
        <w:t xml:space="preserve">indicated, </w:t>
      </w:r>
      <w:r>
        <w:t>although it did tend to hover roughly around 60% in favor of Heads.</w:t>
      </w:r>
      <w:r w:rsidR="004D78A9">
        <w:t xml:space="preserve"> One interesting side note, however, is that we observed ninety percent of our sample calling Heads for the first flip indicating it serves as a median choice among people, similar to the number 7 when choosing a number between one and ten.</w:t>
      </w:r>
    </w:p>
    <w:p w:rsidR="008F79E6" w:rsidRPr="008F79E6" w:rsidRDefault="008F79E6" w:rsidP="004D78A9">
      <w:pPr>
        <w:jc w:val="center"/>
      </w:pPr>
      <w:r w:rsidRPr="008F79E6">
        <w:drawing>
          <wp:inline distT="0" distB="0" distL="0" distR="0" wp14:anchorId="6999DD77" wp14:editId="4ED20DDF">
            <wp:extent cx="4926531" cy="2904134"/>
            <wp:effectExtent l="0" t="0" r="2667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D78A9" w:rsidRDefault="004D78A9" w:rsidP="004D78A9">
      <w:r>
        <w:t xml:space="preserve">Finally, we ended the experiment by asking the subject to evaluate what she </w:t>
      </w:r>
      <w:r w:rsidR="00081B10">
        <w:t xml:space="preserve">believed the weighting of Heads </w:t>
      </w:r>
      <w:r>
        <w:t xml:space="preserve">to be after having observed the </w:t>
      </w:r>
      <w:r w:rsidR="00081B10">
        <w:t xml:space="preserve">given sequence of outcomes: from </w:t>
      </w:r>
      <w:r>
        <w:t xml:space="preserve">100% weighted towards head to </w:t>
      </w:r>
      <w:r w:rsidR="00081B10">
        <w:t>0</w:t>
      </w:r>
      <w:r>
        <w:t xml:space="preserve">% </w:t>
      </w:r>
      <w:r w:rsidR="00081B10">
        <w:t xml:space="preserve">(or equivalent to being 100% </w:t>
      </w:r>
      <w:r>
        <w:t>weighted towards tails</w:t>
      </w:r>
      <w:r w:rsidR="00081B10">
        <w:t>)</w:t>
      </w:r>
      <w:r>
        <w:t>.</w:t>
      </w:r>
    </w:p>
    <w:p w:rsidR="0051116E" w:rsidRDefault="0051116E" w:rsidP="004D78A9"/>
    <w:p w:rsidR="00081B10" w:rsidRDefault="00081B10" w:rsidP="004D78A9">
      <w:r>
        <w:t>We drew our results from this but u</w:t>
      </w:r>
      <w:r w:rsidR="004D78A9">
        <w:t xml:space="preserve">nfortunately, they </w:t>
      </w:r>
      <w:r>
        <w:t xml:space="preserve">were </w:t>
      </w:r>
      <w:r w:rsidR="004D78A9">
        <w:t xml:space="preserve">inconclusive for us. </w:t>
      </w:r>
      <w:r>
        <w:t xml:space="preserve">For instance, running a </w:t>
      </w:r>
      <w:r w:rsidR="004D78A9">
        <w:t xml:space="preserve">regression on </w:t>
      </w:r>
      <w:r>
        <w:t xml:space="preserve">the sample evaluation of the coin’s weighting of Heads to independence and other common demographics yielded the following. Demographics </w:t>
      </w:r>
      <w:r w:rsidR="00AC4C4A">
        <w:t xml:space="preserve">including education and the field of study (STEM, social sciences, humanities, and medicine) </w:t>
      </w:r>
      <w:r>
        <w:t>played little role</w:t>
      </w:r>
      <w:r w:rsidR="00AC4C4A">
        <w:t xml:space="preserve"> in the Bayesian updating of the sample. However, our independence variable does show some significance as a correlation to the belief of the coin being biased towards Heads albeit with an unimpressive R-squared.</w:t>
      </w:r>
    </w:p>
    <w:p w:rsidR="00AC4C4A" w:rsidRDefault="00AC4C4A" w:rsidP="004D78A9"/>
    <w:p w:rsidR="00081B10" w:rsidRPr="00081B10" w:rsidRDefault="00081B10" w:rsidP="00081B10">
      <w:pPr>
        <w:pStyle w:val="RegressionText"/>
      </w:pPr>
      <w:r w:rsidRPr="00081B10">
        <w:t xml:space="preserve">      Source |       SS       df       MS              Number of obs =     356</w:t>
      </w:r>
    </w:p>
    <w:p w:rsidR="00081B10" w:rsidRPr="00081B10" w:rsidRDefault="00081B10" w:rsidP="00081B10">
      <w:pPr>
        <w:pStyle w:val="RegressionText"/>
      </w:pPr>
      <w:r w:rsidRPr="00081B10">
        <w:t>-------------+------------------------------           F(  5,   350) =    3.80</w:t>
      </w:r>
    </w:p>
    <w:p w:rsidR="00081B10" w:rsidRPr="00081B10" w:rsidRDefault="00081B10" w:rsidP="00081B10">
      <w:pPr>
        <w:pStyle w:val="RegressionText"/>
      </w:pPr>
      <w:r w:rsidRPr="00081B10">
        <w:t xml:space="preserve">       Model |  1054.72181     5  210.944362           Prob &gt; F      =  0.0023</w:t>
      </w:r>
    </w:p>
    <w:p w:rsidR="00081B10" w:rsidRPr="00081B10" w:rsidRDefault="00081B10" w:rsidP="00081B10">
      <w:pPr>
        <w:pStyle w:val="RegressionText"/>
      </w:pPr>
      <w:r w:rsidRPr="00081B10">
        <w:t xml:space="preserve">    Residual |  19450.0507   350  55.5715733           R-squared     =  0.0514</w:t>
      </w:r>
    </w:p>
    <w:p w:rsidR="00081B10" w:rsidRPr="00081B10" w:rsidRDefault="00081B10" w:rsidP="00081B10">
      <w:pPr>
        <w:pStyle w:val="RegressionText"/>
      </w:pPr>
      <w:r w:rsidRPr="00081B10">
        <w:t>-------------+------------------------------           Adj R-squared =  0.0379</w:t>
      </w:r>
    </w:p>
    <w:p w:rsidR="00081B10" w:rsidRPr="00081B10" w:rsidRDefault="00081B10" w:rsidP="00081B10">
      <w:pPr>
        <w:pStyle w:val="RegressionText"/>
      </w:pPr>
      <w:r w:rsidRPr="00081B10">
        <w:t xml:space="preserve">       Total |  20504.7725   355  57.7599225           Root MSE      =  7.4546</w:t>
      </w:r>
    </w:p>
    <w:p w:rsidR="00081B10" w:rsidRPr="00081B10" w:rsidRDefault="00081B10" w:rsidP="00081B10">
      <w:pPr>
        <w:pStyle w:val="RegressionText"/>
      </w:pPr>
    </w:p>
    <w:p w:rsidR="00081B10" w:rsidRPr="00081B10" w:rsidRDefault="00081B10" w:rsidP="00081B10">
      <w:pPr>
        <w:pStyle w:val="RegressionText"/>
      </w:pPr>
      <w:r w:rsidRPr="00081B10">
        <w:t>------------------------------------------------------------------------------</w:t>
      </w:r>
    </w:p>
    <w:p w:rsidR="00081B10" w:rsidRPr="00081B10" w:rsidRDefault="00081B10" w:rsidP="00081B10">
      <w:pPr>
        <w:pStyle w:val="RegressionText"/>
      </w:pPr>
      <w:r w:rsidRPr="00081B10">
        <w:t xml:space="preserve">    pctheads |      Coef.   Std. Err.      t    P&gt;|t|     [95% Conf. Interval]</w:t>
      </w:r>
    </w:p>
    <w:p w:rsidR="00081B10" w:rsidRPr="00081B10" w:rsidRDefault="00081B10" w:rsidP="00081B10">
      <w:pPr>
        <w:pStyle w:val="RegressionText"/>
      </w:pPr>
      <w:r w:rsidRPr="00081B10">
        <w:t>-------------+----------------------------------------------------------------</w:t>
      </w:r>
    </w:p>
    <w:p w:rsidR="00081B10" w:rsidRPr="00081B10" w:rsidRDefault="00081B10" w:rsidP="00081B10">
      <w:pPr>
        <w:pStyle w:val="RegressionText"/>
      </w:pPr>
      <w:r w:rsidRPr="00081B10">
        <w:t>independence |  -3.176786   .8289675    -3.83   0.000     -4.80717   -1.546402</w:t>
      </w:r>
    </w:p>
    <w:p w:rsidR="00081B10" w:rsidRPr="00081B10" w:rsidRDefault="00081B10" w:rsidP="00081B10">
      <w:pPr>
        <w:pStyle w:val="RegressionText"/>
      </w:pPr>
      <w:r w:rsidRPr="00081B10">
        <w:t xml:space="preserve">      gender |  -.5539174   .8626894    -0.64   0.521    -2.250625     1.14279</w:t>
      </w:r>
    </w:p>
    <w:p w:rsidR="00081B10" w:rsidRPr="00081B10" w:rsidRDefault="00081B10" w:rsidP="00081B10">
      <w:pPr>
        <w:pStyle w:val="RegressionText"/>
      </w:pPr>
      <w:r w:rsidRPr="00081B10">
        <w:t xml:space="preserve">         age |  -.0470711   .0612756    -0.77   0.443    -.1675859    .0734436</w:t>
      </w:r>
    </w:p>
    <w:p w:rsidR="00081B10" w:rsidRPr="00081B10" w:rsidRDefault="00081B10" w:rsidP="00081B10">
      <w:pPr>
        <w:pStyle w:val="RegressionText"/>
      </w:pPr>
      <w:r w:rsidRPr="00081B10">
        <w:t xml:space="preserve">   education |  -.0889437   .3282085    -0.27   0.787    -.7344528    .5565653</w:t>
      </w:r>
    </w:p>
    <w:p w:rsidR="00081B10" w:rsidRPr="00081B10" w:rsidRDefault="00081B10" w:rsidP="00081B10">
      <w:pPr>
        <w:pStyle w:val="RegressionText"/>
      </w:pPr>
      <w:r w:rsidRPr="00081B10">
        <w:t>fieldofstudy |  -.3232321   .2768011    -1.17   0.244    -.8676348    .2211705</w:t>
      </w:r>
    </w:p>
    <w:p w:rsidR="00081B10" w:rsidRPr="00081B10" w:rsidRDefault="00081B10" w:rsidP="00081B10">
      <w:pPr>
        <w:pStyle w:val="RegressionText"/>
      </w:pPr>
      <w:r w:rsidRPr="00081B10">
        <w:t xml:space="preserve">       _cons |    56.0815   1.938781    28.93   0.000     52.26837    59.89463</w:t>
      </w:r>
    </w:p>
    <w:p w:rsidR="008F79E6" w:rsidRPr="00081B10" w:rsidRDefault="00081B10" w:rsidP="00081B10">
      <w:pPr>
        <w:pStyle w:val="RegressionText"/>
      </w:pPr>
      <w:r w:rsidRPr="00081B10">
        <w:t>------------------------------------------------------------------------------</w:t>
      </w:r>
    </w:p>
    <w:p w:rsidR="00AC4C4A" w:rsidRDefault="00AC4C4A" w:rsidP="00FF0C3E"/>
    <w:p w:rsidR="0051116E" w:rsidRDefault="00AC4C4A" w:rsidP="00FF0C3E">
      <w:r>
        <w:t>What is interesting is that they correlate in a way opposite to what we expected to observe.</w:t>
      </w:r>
      <w:r w:rsidR="0051116E">
        <w:t xml:space="preserve"> The histogram below shows that non</w:t>
      </w:r>
      <w:r w:rsidR="00CE1754">
        <w:t>-</w:t>
      </w:r>
      <w:r w:rsidR="0051116E">
        <w:t>independent people updated better than independent people.</w:t>
      </w:r>
      <w:r w:rsidR="0051116E" w:rsidRPr="0051116E">
        <w:rPr>
          <w:noProof/>
        </w:rPr>
        <w:t xml:space="preserve"> </w:t>
      </w:r>
      <w:r w:rsidR="0051116E">
        <w:rPr>
          <w:noProof/>
        </w:rPr>
        <w:drawing>
          <wp:anchor distT="0" distB="0" distL="114300" distR="114300" simplePos="0" relativeHeight="251661312" behindDoc="0" locked="0" layoutInCell="1" allowOverlap="0" wp14:anchorId="4207F858" wp14:editId="46CF25EE">
            <wp:simplePos x="0" y="0"/>
            <wp:positionH relativeFrom="column">
              <wp:posOffset>856615</wp:posOffset>
            </wp:positionH>
            <wp:positionV relativeFrom="bottomMargin">
              <wp:posOffset>-3015615</wp:posOffset>
            </wp:positionV>
            <wp:extent cx="4279265" cy="3108960"/>
            <wp:effectExtent l="0" t="0" r="6985" b="0"/>
            <wp:wrapTopAndBottom/>
            <wp:docPr id="8" name="Picture 8" descr="C:\Users\dba\Dropbox\School\ECON-4764 Behavioral Economics - Astorne [2013 Spring]\Bayesup\samp2_hist_pctheads_by_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ba\Dropbox\School\ECON-4764 Behavioral Economics - Astorne [2013 Spring]\Bayesup\samp2_hist_pctheads_by_i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265"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16E" w:rsidRDefault="0051116E" w:rsidP="00FF0C3E">
      <w:r>
        <w:lastRenderedPageBreak/>
        <w:t>This indicates either of two problems with the experiment. Either we did not categorize people as independent correctly, or there is some other variable causing the results to skew opposite to what we’d expect.</w:t>
      </w:r>
    </w:p>
    <w:p w:rsidR="0051116E" w:rsidRDefault="0051116E" w:rsidP="0051116E">
      <w:r>
        <w:t>The former is very possible when you consider that</w:t>
      </w:r>
      <w:r>
        <w:t xml:space="preserve"> we </w:t>
      </w:r>
      <w:r>
        <w:t xml:space="preserve">may not yet know </w:t>
      </w:r>
      <w:r>
        <w:t xml:space="preserve">concretely about the subject’s observance and knowledge of independent trials from a probability device. </w:t>
      </w:r>
      <w:r>
        <w:t>For instance,</w:t>
      </w:r>
      <w:r>
        <w:t xml:space="preserve"> </w:t>
      </w:r>
      <w:r>
        <w:t xml:space="preserve">the </w:t>
      </w:r>
      <w:r>
        <w:t xml:space="preserve">subject may </w:t>
      </w:r>
      <w:r>
        <w:rPr>
          <w:i/>
        </w:rPr>
        <w:t>always</w:t>
      </w:r>
      <w:r>
        <w:t xml:space="preserve"> bet on Black regardless of the outcome and still observe independence, yet there actually wasn’t an answer for that reasoning among the choices. Thereby it may have inadvertently forced them to choose one of the answers we categorize as a non-independence indicat</w:t>
      </w:r>
      <w:r>
        <w:t>or and thus incorrectly muddying the pool. In future experiments, it might be better to directly elicit this information.</w:t>
      </w:r>
    </w:p>
    <w:p w:rsidR="008F79E6" w:rsidRDefault="0051116E" w:rsidP="00FF0C3E">
      <w:r>
        <w:t>Despite</w:t>
      </w:r>
      <w:r w:rsidR="008F79E6">
        <w:t xml:space="preserve"> the experiment’s seemingly simple set up. </w:t>
      </w:r>
      <w:r>
        <w:t>T</w:t>
      </w:r>
      <w:r w:rsidR="008F79E6">
        <w:t>here were perhaps many exogenous variables influencing their behavior in a manner that hindered us from seeing our expected results (if we were indeed meant to see them).</w:t>
      </w:r>
    </w:p>
    <w:p w:rsidR="00F947D6" w:rsidRDefault="00F947D6" w:rsidP="00FF0C3E">
      <w:r>
        <w:t xml:space="preserve">Even though the sequence of results given to the subject was static, the subjects as a whole may have been unduly influenced by the placement of the Tails result which may have served as some sort of reinforcement towards their belief that it was in fact a fair coin based on the result. This may have been a similar effect to loss aversion in which, while they may have initially picked up on heads being repeated, the sting of losing once one of the few Tails came up may have redirected their </w:t>
      </w:r>
      <w:r w:rsidR="008F79E6">
        <w:t xml:space="preserve">beliefs and accordingly, their </w:t>
      </w:r>
      <w:r>
        <w:t>behavior</w:t>
      </w:r>
      <w:r w:rsidR="008F79E6">
        <w:t>.</w:t>
      </w:r>
    </w:p>
    <w:p w:rsidR="00663F36" w:rsidRDefault="00663F36" w:rsidP="00FF0C3E">
      <w:r>
        <w:t>Other factors may have been the illusion of patterns. I had more than one subject say they chose heads or tails due to the belief that they had observed a pattern. It is common for humans to look for patterns when observing arranged information. Unfortunately, it is highly possible this had an effect.</w:t>
      </w:r>
    </w:p>
    <w:p w:rsidR="00663F36" w:rsidRPr="00663F36" w:rsidRDefault="00663F36" w:rsidP="00FF0C3E">
      <w:r>
        <w:t xml:space="preserve">In conclusion, there really isn’t one and what we have is something more of an anti-conclusion. The experiment seemed to propose more questions than was answered in large part due to the counter-intuitive results. The good news is that it yielded insight into how to further refine the experiment to run in a more precise fashion </w:t>
      </w:r>
      <w:r>
        <w:rPr>
          <w:i/>
        </w:rPr>
        <w:t>and</w:t>
      </w:r>
      <w:r>
        <w:t xml:space="preserve"> it provided what could be topics for further research such as the observance of patterns as a factor in human decision-making in probabilistic scenarios.</w:t>
      </w:r>
    </w:p>
    <w:p w:rsidR="00663F36" w:rsidRPr="00CA59E6" w:rsidRDefault="00663F36" w:rsidP="00FF0C3E"/>
    <w:sectPr w:rsidR="00663F36" w:rsidRPr="00CA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C3E"/>
    <w:rsid w:val="00081B10"/>
    <w:rsid w:val="001D0E71"/>
    <w:rsid w:val="002174AE"/>
    <w:rsid w:val="00336057"/>
    <w:rsid w:val="00367D04"/>
    <w:rsid w:val="004D78A9"/>
    <w:rsid w:val="0051116E"/>
    <w:rsid w:val="00663F36"/>
    <w:rsid w:val="00790319"/>
    <w:rsid w:val="008378C4"/>
    <w:rsid w:val="008F79E6"/>
    <w:rsid w:val="009B5DBB"/>
    <w:rsid w:val="00AC4C4A"/>
    <w:rsid w:val="00C9435A"/>
    <w:rsid w:val="00CA59E6"/>
    <w:rsid w:val="00CE1754"/>
    <w:rsid w:val="00F45F79"/>
    <w:rsid w:val="00F947D6"/>
    <w:rsid w:val="00FF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FF0C3E"/>
    <w:rPr>
      <w:rFonts w:asciiTheme="majorHAnsi" w:eastAsiaTheme="majorEastAsia" w:hAnsiTheme="majorHAnsi" w:cstheme="majorBidi"/>
      <w:color w:val="17365D" w:themeColor="text2" w:themeShade="BF"/>
      <w:spacing w:val="5"/>
      <w:kern w:val="28"/>
      <w:sz w:val="48"/>
      <w:szCs w:val="52"/>
    </w:rPr>
  </w:style>
  <w:style w:type="table" w:styleId="TableGrid">
    <w:name w:val="Table Grid"/>
    <w:basedOn w:val="TableNormal"/>
    <w:uiPriority w:val="59"/>
    <w:rsid w:val="001D0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5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9E6"/>
    <w:rPr>
      <w:rFonts w:ascii="Tahoma" w:hAnsi="Tahoma" w:cs="Tahoma"/>
      <w:sz w:val="16"/>
      <w:szCs w:val="16"/>
    </w:rPr>
  </w:style>
  <w:style w:type="paragraph" w:customStyle="1" w:styleId="RegressionText">
    <w:name w:val="Regression Text"/>
    <w:basedOn w:val="Normal"/>
    <w:link w:val="RegressionTextChar"/>
    <w:qFormat/>
    <w:rsid w:val="00081B10"/>
    <w:pPr>
      <w:spacing w:after="0" w:line="240" w:lineRule="auto"/>
    </w:pPr>
    <w:rPr>
      <w:rFonts w:ascii="Consolas" w:hAnsi="Consolas" w:cs="Consolas"/>
      <w:sz w:val="18"/>
      <w:szCs w:val="18"/>
    </w:rPr>
  </w:style>
  <w:style w:type="character" w:customStyle="1" w:styleId="RegressionTextChar">
    <w:name w:val="Regression Text Char"/>
    <w:basedOn w:val="DefaultParagraphFont"/>
    <w:link w:val="RegressionText"/>
    <w:rsid w:val="00081B10"/>
    <w:rPr>
      <w:rFonts w:ascii="Consolas" w:hAnsi="Consolas" w:cs="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C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FF0C3E"/>
    <w:rPr>
      <w:rFonts w:asciiTheme="majorHAnsi" w:eastAsiaTheme="majorEastAsia" w:hAnsiTheme="majorHAnsi" w:cstheme="majorBidi"/>
      <w:color w:val="17365D" w:themeColor="text2" w:themeShade="BF"/>
      <w:spacing w:val="5"/>
      <w:kern w:val="28"/>
      <w:sz w:val="48"/>
      <w:szCs w:val="52"/>
    </w:rPr>
  </w:style>
  <w:style w:type="table" w:styleId="TableGrid">
    <w:name w:val="Table Grid"/>
    <w:basedOn w:val="TableNormal"/>
    <w:uiPriority w:val="59"/>
    <w:rsid w:val="001D0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5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9E6"/>
    <w:rPr>
      <w:rFonts w:ascii="Tahoma" w:hAnsi="Tahoma" w:cs="Tahoma"/>
      <w:sz w:val="16"/>
      <w:szCs w:val="16"/>
    </w:rPr>
  </w:style>
  <w:style w:type="paragraph" w:customStyle="1" w:styleId="RegressionText">
    <w:name w:val="Regression Text"/>
    <w:basedOn w:val="Normal"/>
    <w:link w:val="RegressionTextChar"/>
    <w:qFormat/>
    <w:rsid w:val="00081B10"/>
    <w:pPr>
      <w:spacing w:after="0" w:line="240" w:lineRule="auto"/>
    </w:pPr>
    <w:rPr>
      <w:rFonts w:ascii="Consolas" w:hAnsi="Consolas" w:cs="Consolas"/>
      <w:sz w:val="18"/>
      <w:szCs w:val="18"/>
    </w:rPr>
  </w:style>
  <w:style w:type="character" w:customStyle="1" w:styleId="RegressionTextChar">
    <w:name w:val="Regression Text Char"/>
    <w:basedOn w:val="DefaultParagraphFont"/>
    <w:link w:val="RegressionText"/>
    <w:rsid w:val="00081B10"/>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101042">
      <w:bodyDiv w:val="1"/>
      <w:marLeft w:val="0"/>
      <w:marRight w:val="0"/>
      <w:marTop w:val="0"/>
      <w:marBottom w:val="0"/>
      <w:divBdr>
        <w:top w:val="none" w:sz="0" w:space="0" w:color="auto"/>
        <w:left w:val="none" w:sz="0" w:space="0" w:color="auto"/>
        <w:bottom w:val="none" w:sz="0" w:space="0" w:color="auto"/>
        <w:right w:val="none" w:sz="0" w:space="0" w:color="auto"/>
      </w:divBdr>
    </w:div>
    <w:div w:id="14792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lbrght\Downloads\bayesup\turk.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cat>
            <c:strRef>
              <c:f>Sheet1!$K$1:$AD$1</c:f>
              <c:strCache>
                <c:ptCount val="20"/>
                <c:pt idx="0">
                  <c:v>Trial 1</c:v>
                </c:pt>
                <c:pt idx="1">
                  <c:v>Trial 2</c:v>
                </c:pt>
                <c:pt idx="2">
                  <c:v>Trial 3</c:v>
                </c:pt>
                <c:pt idx="3">
                  <c:v>Trial 4</c:v>
                </c:pt>
                <c:pt idx="4">
                  <c:v>Trial 5</c:v>
                </c:pt>
                <c:pt idx="5">
                  <c:v>Trial 6</c:v>
                </c:pt>
                <c:pt idx="6">
                  <c:v>Trial 7</c:v>
                </c:pt>
                <c:pt idx="7">
                  <c:v>Trial 8</c:v>
                </c:pt>
                <c:pt idx="8">
                  <c:v>Trial 9</c:v>
                </c:pt>
                <c:pt idx="9">
                  <c:v>Trial 10</c:v>
                </c:pt>
                <c:pt idx="10">
                  <c:v>Trial 11</c:v>
                </c:pt>
                <c:pt idx="11">
                  <c:v>Trial 12</c:v>
                </c:pt>
                <c:pt idx="12">
                  <c:v>Trial 13</c:v>
                </c:pt>
                <c:pt idx="13">
                  <c:v>Trial 14</c:v>
                </c:pt>
                <c:pt idx="14">
                  <c:v>Trial 15</c:v>
                </c:pt>
                <c:pt idx="15">
                  <c:v>Trial 16</c:v>
                </c:pt>
                <c:pt idx="16">
                  <c:v>Trial 17</c:v>
                </c:pt>
                <c:pt idx="17">
                  <c:v>Trial 18</c:v>
                </c:pt>
                <c:pt idx="18">
                  <c:v>Trial 19</c:v>
                </c:pt>
                <c:pt idx="19">
                  <c:v>Trial 20</c:v>
                </c:pt>
              </c:strCache>
            </c:strRef>
          </c:cat>
          <c:val>
            <c:numRef>
              <c:f>Sheet1!$K$103:$AD$103</c:f>
              <c:numCache>
                <c:formatCode>General</c:formatCode>
                <c:ptCount val="20"/>
                <c:pt idx="0">
                  <c:v>89</c:v>
                </c:pt>
                <c:pt idx="1">
                  <c:v>69</c:v>
                </c:pt>
                <c:pt idx="2">
                  <c:v>55</c:v>
                </c:pt>
                <c:pt idx="3">
                  <c:v>70</c:v>
                </c:pt>
                <c:pt idx="4">
                  <c:v>62</c:v>
                </c:pt>
                <c:pt idx="5">
                  <c:v>52</c:v>
                </c:pt>
                <c:pt idx="6">
                  <c:v>60</c:v>
                </c:pt>
                <c:pt idx="7">
                  <c:v>66</c:v>
                </c:pt>
                <c:pt idx="8">
                  <c:v>62</c:v>
                </c:pt>
                <c:pt idx="9">
                  <c:v>53</c:v>
                </c:pt>
                <c:pt idx="10">
                  <c:v>66</c:v>
                </c:pt>
                <c:pt idx="11">
                  <c:v>74</c:v>
                </c:pt>
                <c:pt idx="12">
                  <c:v>59</c:v>
                </c:pt>
                <c:pt idx="13">
                  <c:v>58</c:v>
                </c:pt>
                <c:pt idx="14">
                  <c:v>65</c:v>
                </c:pt>
                <c:pt idx="15">
                  <c:v>59</c:v>
                </c:pt>
                <c:pt idx="16">
                  <c:v>59</c:v>
                </c:pt>
                <c:pt idx="17">
                  <c:v>58</c:v>
                </c:pt>
                <c:pt idx="18">
                  <c:v>67</c:v>
                </c:pt>
                <c:pt idx="19">
                  <c:v>68</c:v>
                </c:pt>
              </c:numCache>
            </c:numRef>
          </c:val>
          <c:smooth val="0"/>
        </c:ser>
        <c:dLbls>
          <c:showLegendKey val="0"/>
          <c:showVal val="0"/>
          <c:showCatName val="0"/>
          <c:showSerName val="0"/>
          <c:showPercent val="0"/>
          <c:showBubbleSize val="0"/>
        </c:dLbls>
        <c:marker val="1"/>
        <c:smooth val="0"/>
        <c:axId val="93679104"/>
        <c:axId val="172862848"/>
      </c:lineChart>
      <c:catAx>
        <c:axId val="93679104"/>
        <c:scaling>
          <c:orientation val="minMax"/>
        </c:scaling>
        <c:delete val="0"/>
        <c:axPos val="b"/>
        <c:majorTickMark val="out"/>
        <c:minorTickMark val="none"/>
        <c:tickLblPos val="nextTo"/>
        <c:crossAx val="172862848"/>
        <c:crosses val="autoZero"/>
        <c:auto val="1"/>
        <c:lblAlgn val="ctr"/>
        <c:lblOffset val="100"/>
        <c:noMultiLvlLbl val="0"/>
      </c:catAx>
      <c:valAx>
        <c:axId val="172862848"/>
        <c:scaling>
          <c:orientation val="minMax"/>
        </c:scaling>
        <c:delete val="0"/>
        <c:axPos val="l"/>
        <c:majorGridlines/>
        <c:numFmt formatCode="General" sourceLinked="1"/>
        <c:majorTickMark val="out"/>
        <c:minorTickMark val="none"/>
        <c:tickLblPos val="nextTo"/>
        <c:crossAx val="936791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Albright</dc:creator>
  <cp:lastModifiedBy>Daniel Albright</cp:lastModifiedBy>
  <cp:revision>5</cp:revision>
  <dcterms:created xsi:type="dcterms:W3CDTF">2013-05-08T23:41:00Z</dcterms:created>
  <dcterms:modified xsi:type="dcterms:W3CDTF">2013-05-09T03:58:00Z</dcterms:modified>
</cp:coreProperties>
</file>