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F7027" w14:textId="237F712F" w:rsidR="00901C1A" w:rsidRDefault="00901C1A" w:rsidP="00D017DC">
      <w:pPr>
        <w:rPr>
          <w:b/>
          <w:sz w:val="28"/>
        </w:rPr>
      </w:pPr>
      <w:r>
        <w:rPr>
          <w:b/>
          <w:sz w:val="28"/>
        </w:rPr>
        <w:t xml:space="preserve">XX, </w:t>
      </w:r>
      <w:r w:rsidR="00A75739">
        <w:rPr>
          <w:b/>
          <w:sz w:val="28"/>
        </w:rPr>
        <w:t>septiembre</w:t>
      </w:r>
      <w:r>
        <w:rPr>
          <w:b/>
          <w:sz w:val="28"/>
        </w:rPr>
        <w:t xml:space="preserve"> 2019</w:t>
      </w:r>
    </w:p>
    <w:p w14:paraId="6FA1D33C" w14:textId="7708191D" w:rsidR="00AE5F1F" w:rsidRDefault="00AE5F1F" w:rsidP="00D017DC">
      <w:pPr>
        <w:rPr>
          <w:b/>
          <w:sz w:val="28"/>
        </w:rPr>
      </w:pPr>
      <w:r>
        <w:rPr>
          <w:b/>
          <w:sz w:val="28"/>
        </w:rPr>
        <w:t>Propuesta de Workshop SEE 2019</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321"/>
        <w:gridCol w:w="1006"/>
        <w:gridCol w:w="5246"/>
        <w:gridCol w:w="1215"/>
      </w:tblGrid>
      <w:tr w:rsidR="00614695" w14:paraId="046055F7" w14:textId="77777777" w:rsidTr="00AE5F1F">
        <w:trPr>
          <w:trHeight w:val="570"/>
        </w:trPr>
        <w:tc>
          <w:tcPr>
            <w:tcW w:w="852" w:type="dxa"/>
          </w:tcPr>
          <w:p w14:paraId="730FA2BD" w14:textId="77777777" w:rsidR="00614695" w:rsidRDefault="00614695" w:rsidP="00614695">
            <w:pPr>
              <w:jc w:val="center"/>
              <w:rPr>
                <w:sz w:val="24"/>
                <w:szCs w:val="24"/>
              </w:rPr>
            </w:pPr>
            <w:r>
              <w:rPr>
                <w:sz w:val="24"/>
                <w:szCs w:val="24"/>
              </w:rPr>
              <w:t>9:00</w:t>
            </w:r>
          </w:p>
        </w:tc>
        <w:tc>
          <w:tcPr>
            <w:tcW w:w="321" w:type="dxa"/>
          </w:tcPr>
          <w:p w14:paraId="39E3187C" w14:textId="77777777" w:rsidR="00614695" w:rsidRDefault="00614695" w:rsidP="00614695">
            <w:pPr>
              <w:jc w:val="center"/>
              <w:rPr>
                <w:sz w:val="24"/>
                <w:szCs w:val="24"/>
              </w:rPr>
            </w:pPr>
            <w:r>
              <w:rPr>
                <w:sz w:val="24"/>
                <w:szCs w:val="24"/>
              </w:rPr>
              <w:t>-</w:t>
            </w:r>
          </w:p>
        </w:tc>
        <w:tc>
          <w:tcPr>
            <w:tcW w:w="1006" w:type="dxa"/>
          </w:tcPr>
          <w:p w14:paraId="582F0F35" w14:textId="18EE2EFD" w:rsidR="00614695" w:rsidRDefault="0059185B" w:rsidP="00901C1A">
            <w:pPr>
              <w:jc w:val="center"/>
              <w:rPr>
                <w:sz w:val="24"/>
                <w:szCs w:val="24"/>
              </w:rPr>
            </w:pPr>
            <w:r>
              <w:rPr>
                <w:sz w:val="24"/>
                <w:szCs w:val="24"/>
              </w:rPr>
              <w:t>1</w:t>
            </w:r>
            <w:r w:rsidR="00901C1A">
              <w:rPr>
                <w:sz w:val="24"/>
                <w:szCs w:val="24"/>
              </w:rPr>
              <w:t>0</w:t>
            </w:r>
            <w:r>
              <w:rPr>
                <w:sz w:val="24"/>
                <w:szCs w:val="24"/>
              </w:rPr>
              <w:t>:</w:t>
            </w:r>
            <w:r w:rsidR="00901C1A">
              <w:rPr>
                <w:sz w:val="24"/>
                <w:szCs w:val="24"/>
              </w:rPr>
              <w:t>0</w:t>
            </w:r>
            <w:r>
              <w:rPr>
                <w:sz w:val="24"/>
                <w:szCs w:val="24"/>
              </w:rPr>
              <w:t>0</w:t>
            </w:r>
          </w:p>
        </w:tc>
        <w:tc>
          <w:tcPr>
            <w:tcW w:w="6461" w:type="dxa"/>
            <w:gridSpan w:val="2"/>
          </w:tcPr>
          <w:p w14:paraId="20674D02" w14:textId="06C5230F" w:rsidR="00614695" w:rsidRDefault="008B352B" w:rsidP="00A75739">
            <w:pPr>
              <w:rPr>
                <w:sz w:val="24"/>
                <w:szCs w:val="24"/>
              </w:rPr>
            </w:pPr>
            <w:r>
              <w:rPr>
                <w:sz w:val="24"/>
                <w:szCs w:val="24"/>
              </w:rPr>
              <w:t>Introducción a las “</w:t>
            </w:r>
            <w:r w:rsidRPr="00A75739">
              <w:rPr>
                <w:b/>
                <w:sz w:val="24"/>
                <w:szCs w:val="24"/>
              </w:rPr>
              <w:t>Potential Outcomes</w:t>
            </w:r>
            <w:r>
              <w:rPr>
                <w:sz w:val="24"/>
                <w:szCs w:val="24"/>
              </w:rPr>
              <w:t xml:space="preserve">” y el </w:t>
            </w:r>
            <w:r w:rsidRPr="00A75739">
              <w:rPr>
                <w:b/>
                <w:sz w:val="24"/>
                <w:szCs w:val="24"/>
              </w:rPr>
              <w:t>marco conceptual de la Inferencia Causal</w:t>
            </w:r>
            <w:r w:rsidR="00901C1A">
              <w:rPr>
                <w:sz w:val="24"/>
                <w:szCs w:val="24"/>
              </w:rPr>
              <w:t xml:space="preserve">: Justificación basada en la implementación de la generalización de la estandarización: </w:t>
            </w:r>
            <w:r>
              <w:rPr>
                <w:sz w:val="24"/>
                <w:szCs w:val="24"/>
              </w:rPr>
              <w:t>la Formula G y</w:t>
            </w:r>
            <w:r w:rsidR="00901C1A">
              <w:rPr>
                <w:sz w:val="24"/>
                <w:szCs w:val="24"/>
              </w:rPr>
              <w:t xml:space="preserve"> el estimando</w:t>
            </w:r>
            <w:r>
              <w:rPr>
                <w:sz w:val="24"/>
                <w:szCs w:val="24"/>
              </w:rPr>
              <w:t xml:space="preserve"> “ATE” (Average Treatment Effect)</w:t>
            </w:r>
          </w:p>
          <w:p w14:paraId="3601F6A8" w14:textId="77777777" w:rsidR="008B352B" w:rsidRDefault="008B352B" w:rsidP="00A75739">
            <w:pPr>
              <w:rPr>
                <w:sz w:val="24"/>
                <w:szCs w:val="24"/>
              </w:rPr>
            </w:pPr>
          </w:p>
        </w:tc>
      </w:tr>
      <w:tr w:rsidR="00901C1A" w14:paraId="784DECDA" w14:textId="77777777" w:rsidTr="00AE5F1F">
        <w:trPr>
          <w:trHeight w:val="544"/>
        </w:trPr>
        <w:tc>
          <w:tcPr>
            <w:tcW w:w="852" w:type="dxa"/>
          </w:tcPr>
          <w:p w14:paraId="36F98F60" w14:textId="77777777" w:rsidR="00901C1A" w:rsidRDefault="00901C1A" w:rsidP="00901C1A">
            <w:pPr>
              <w:jc w:val="center"/>
              <w:rPr>
                <w:sz w:val="24"/>
                <w:szCs w:val="24"/>
              </w:rPr>
            </w:pPr>
            <w:r>
              <w:rPr>
                <w:sz w:val="24"/>
                <w:szCs w:val="24"/>
              </w:rPr>
              <w:t>10:00</w:t>
            </w:r>
          </w:p>
          <w:p w14:paraId="7ECE8A6A" w14:textId="2C639311" w:rsidR="00901C1A" w:rsidRDefault="00901C1A" w:rsidP="00901C1A">
            <w:pPr>
              <w:rPr>
                <w:sz w:val="24"/>
                <w:szCs w:val="24"/>
              </w:rPr>
            </w:pPr>
          </w:p>
        </w:tc>
        <w:tc>
          <w:tcPr>
            <w:tcW w:w="321" w:type="dxa"/>
          </w:tcPr>
          <w:p w14:paraId="54A112B9" w14:textId="16D2C42B" w:rsidR="00901C1A" w:rsidRDefault="00901C1A" w:rsidP="00901C1A">
            <w:pPr>
              <w:jc w:val="center"/>
              <w:rPr>
                <w:sz w:val="24"/>
                <w:szCs w:val="24"/>
              </w:rPr>
            </w:pPr>
            <w:r>
              <w:rPr>
                <w:sz w:val="24"/>
                <w:szCs w:val="24"/>
              </w:rPr>
              <w:t>-</w:t>
            </w:r>
          </w:p>
        </w:tc>
        <w:tc>
          <w:tcPr>
            <w:tcW w:w="1006" w:type="dxa"/>
          </w:tcPr>
          <w:p w14:paraId="2EBC50A2" w14:textId="77777777" w:rsidR="00901C1A" w:rsidRDefault="00901C1A" w:rsidP="00901C1A">
            <w:pPr>
              <w:jc w:val="center"/>
              <w:rPr>
                <w:sz w:val="24"/>
                <w:szCs w:val="24"/>
              </w:rPr>
            </w:pPr>
            <w:r>
              <w:rPr>
                <w:sz w:val="24"/>
                <w:szCs w:val="24"/>
              </w:rPr>
              <w:t>10:15</w:t>
            </w:r>
          </w:p>
          <w:p w14:paraId="425813C1" w14:textId="56096E09" w:rsidR="00901C1A" w:rsidRDefault="00901C1A" w:rsidP="00901C1A">
            <w:pPr>
              <w:jc w:val="center"/>
              <w:rPr>
                <w:sz w:val="24"/>
                <w:szCs w:val="24"/>
              </w:rPr>
            </w:pPr>
          </w:p>
        </w:tc>
        <w:tc>
          <w:tcPr>
            <w:tcW w:w="6461" w:type="dxa"/>
            <w:gridSpan w:val="2"/>
          </w:tcPr>
          <w:p w14:paraId="096E145F" w14:textId="77777777" w:rsidR="00901C1A" w:rsidRDefault="00901C1A" w:rsidP="00A75739">
            <w:pPr>
              <w:rPr>
                <w:sz w:val="24"/>
                <w:szCs w:val="24"/>
              </w:rPr>
            </w:pPr>
            <w:r>
              <w:rPr>
                <w:sz w:val="24"/>
                <w:szCs w:val="24"/>
              </w:rPr>
              <w:t>Pequeño receso</w:t>
            </w:r>
          </w:p>
          <w:p w14:paraId="47FAB711" w14:textId="531E3EF4" w:rsidR="00901C1A" w:rsidRDefault="00901C1A" w:rsidP="00A75739">
            <w:pPr>
              <w:rPr>
                <w:sz w:val="24"/>
                <w:szCs w:val="24"/>
              </w:rPr>
            </w:pPr>
          </w:p>
        </w:tc>
      </w:tr>
      <w:tr w:rsidR="00901C1A" w14:paraId="4023DA0A" w14:textId="77777777" w:rsidTr="00AE5F1F">
        <w:trPr>
          <w:trHeight w:val="544"/>
        </w:trPr>
        <w:tc>
          <w:tcPr>
            <w:tcW w:w="852" w:type="dxa"/>
          </w:tcPr>
          <w:p w14:paraId="608453B1" w14:textId="282973AD" w:rsidR="00901C1A" w:rsidRDefault="00901C1A" w:rsidP="00901C1A">
            <w:pPr>
              <w:jc w:val="center"/>
              <w:rPr>
                <w:sz w:val="24"/>
                <w:szCs w:val="24"/>
              </w:rPr>
            </w:pPr>
            <w:r>
              <w:rPr>
                <w:sz w:val="24"/>
                <w:szCs w:val="24"/>
              </w:rPr>
              <w:t>10:1</w:t>
            </w:r>
            <w:r w:rsidR="00A75739">
              <w:rPr>
                <w:sz w:val="24"/>
                <w:szCs w:val="24"/>
              </w:rPr>
              <w:t>5</w:t>
            </w:r>
          </w:p>
        </w:tc>
        <w:tc>
          <w:tcPr>
            <w:tcW w:w="321" w:type="dxa"/>
          </w:tcPr>
          <w:p w14:paraId="4F8B87BD" w14:textId="77777777" w:rsidR="00901C1A" w:rsidRDefault="00901C1A" w:rsidP="00901C1A">
            <w:pPr>
              <w:jc w:val="center"/>
              <w:rPr>
                <w:sz w:val="24"/>
                <w:szCs w:val="24"/>
              </w:rPr>
            </w:pPr>
            <w:r>
              <w:rPr>
                <w:sz w:val="24"/>
                <w:szCs w:val="24"/>
              </w:rPr>
              <w:t>-</w:t>
            </w:r>
          </w:p>
        </w:tc>
        <w:tc>
          <w:tcPr>
            <w:tcW w:w="1006" w:type="dxa"/>
          </w:tcPr>
          <w:p w14:paraId="36E340B7" w14:textId="31B80535" w:rsidR="00901C1A" w:rsidRDefault="00901C1A" w:rsidP="00901C1A">
            <w:pPr>
              <w:jc w:val="center"/>
              <w:rPr>
                <w:sz w:val="24"/>
                <w:szCs w:val="24"/>
              </w:rPr>
            </w:pPr>
            <w:r>
              <w:rPr>
                <w:sz w:val="24"/>
                <w:szCs w:val="24"/>
              </w:rPr>
              <w:t>1</w:t>
            </w:r>
            <w:r w:rsidR="00A75739">
              <w:rPr>
                <w:sz w:val="24"/>
                <w:szCs w:val="24"/>
              </w:rPr>
              <w:t>2</w:t>
            </w:r>
            <w:r>
              <w:rPr>
                <w:sz w:val="24"/>
                <w:szCs w:val="24"/>
              </w:rPr>
              <w:t>:</w:t>
            </w:r>
            <w:r w:rsidR="00A75739">
              <w:rPr>
                <w:sz w:val="24"/>
                <w:szCs w:val="24"/>
              </w:rPr>
              <w:t>15</w:t>
            </w:r>
          </w:p>
        </w:tc>
        <w:tc>
          <w:tcPr>
            <w:tcW w:w="6461" w:type="dxa"/>
            <w:gridSpan w:val="2"/>
          </w:tcPr>
          <w:p w14:paraId="586B001E" w14:textId="495ABDEB" w:rsidR="00AE5F1F" w:rsidRDefault="00901C1A" w:rsidP="00A75739">
            <w:pPr>
              <w:rPr>
                <w:sz w:val="24"/>
                <w:szCs w:val="24"/>
              </w:rPr>
            </w:pPr>
            <w:r>
              <w:rPr>
                <w:sz w:val="24"/>
                <w:szCs w:val="24"/>
              </w:rPr>
              <w:t xml:space="preserve">Asunciones de la inferencia causal aplicadas a los datos epidemiológicos observacionales y la necesidad de la introducción de los gráficos directos acíclicos (DAGs) para identificar variables confusoras, </w:t>
            </w:r>
            <w:r w:rsidRPr="00A75739">
              <w:rPr>
                <w:b/>
                <w:sz w:val="24"/>
                <w:szCs w:val="24"/>
              </w:rPr>
              <w:t>colliders</w:t>
            </w:r>
            <w:r>
              <w:rPr>
                <w:sz w:val="24"/>
                <w:szCs w:val="24"/>
              </w:rPr>
              <w:t xml:space="preserve"> y mediadoras</w:t>
            </w:r>
            <w:r w:rsidR="00AE5F1F">
              <w:rPr>
                <w:sz w:val="24"/>
                <w:szCs w:val="24"/>
              </w:rPr>
              <w:t xml:space="preserve">: Introducción al efecto paradójico inducido por colliders: </w:t>
            </w:r>
            <w:hyperlink r:id="rId4" w:history="1">
              <w:r w:rsidR="00AE5F1F" w:rsidRPr="00D72234">
                <w:rPr>
                  <w:rStyle w:val="Hyperlink"/>
                  <w:sz w:val="24"/>
                  <w:szCs w:val="24"/>
                </w:rPr>
                <w:t>http://watzilei.com/shiny/collider/</w:t>
              </w:r>
            </w:hyperlink>
          </w:p>
          <w:p w14:paraId="128980EE" w14:textId="6739AD56" w:rsidR="00901C1A" w:rsidRDefault="00901C1A" w:rsidP="00A75739">
            <w:pPr>
              <w:rPr>
                <w:sz w:val="24"/>
                <w:szCs w:val="24"/>
              </w:rPr>
            </w:pPr>
            <w:r>
              <w:rPr>
                <w:sz w:val="24"/>
                <w:szCs w:val="24"/>
              </w:rPr>
              <w:t xml:space="preserve"> </w:t>
            </w:r>
          </w:p>
        </w:tc>
      </w:tr>
      <w:tr w:rsidR="00901C1A" w14:paraId="29E7150F" w14:textId="77777777" w:rsidTr="00AE5F1F">
        <w:trPr>
          <w:trHeight w:val="570"/>
        </w:trPr>
        <w:tc>
          <w:tcPr>
            <w:tcW w:w="852" w:type="dxa"/>
          </w:tcPr>
          <w:p w14:paraId="3A709896" w14:textId="17F3D5AB" w:rsidR="00901C1A" w:rsidRDefault="00901C1A" w:rsidP="00901C1A">
            <w:pPr>
              <w:jc w:val="center"/>
              <w:rPr>
                <w:sz w:val="24"/>
                <w:szCs w:val="24"/>
              </w:rPr>
            </w:pPr>
            <w:r>
              <w:rPr>
                <w:sz w:val="24"/>
                <w:szCs w:val="24"/>
              </w:rPr>
              <w:t>1</w:t>
            </w:r>
            <w:r w:rsidR="00A75739">
              <w:rPr>
                <w:sz w:val="24"/>
                <w:szCs w:val="24"/>
              </w:rPr>
              <w:t>2</w:t>
            </w:r>
            <w:r>
              <w:rPr>
                <w:sz w:val="24"/>
                <w:szCs w:val="24"/>
              </w:rPr>
              <w:t>:</w:t>
            </w:r>
            <w:r w:rsidR="00A75739">
              <w:rPr>
                <w:sz w:val="24"/>
                <w:szCs w:val="24"/>
              </w:rPr>
              <w:t>15</w:t>
            </w:r>
          </w:p>
        </w:tc>
        <w:tc>
          <w:tcPr>
            <w:tcW w:w="321" w:type="dxa"/>
          </w:tcPr>
          <w:p w14:paraId="0C9A7C00" w14:textId="77777777" w:rsidR="00901C1A" w:rsidRDefault="00901C1A" w:rsidP="00901C1A">
            <w:pPr>
              <w:jc w:val="center"/>
              <w:rPr>
                <w:sz w:val="24"/>
                <w:szCs w:val="24"/>
              </w:rPr>
            </w:pPr>
            <w:r>
              <w:rPr>
                <w:sz w:val="24"/>
                <w:szCs w:val="24"/>
              </w:rPr>
              <w:t>-</w:t>
            </w:r>
          </w:p>
        </w:tc>
        <w:tc>
          <w:tcPr>
            <w:tcW w:w="1006" w:type="dxa"/>
          </w:tcPr>
          <w:p w14:paraId="1D93C6BF" w14:textId="69343F4D" w:rsidR="00901C1A" w:rsidRDefault="00901C1A" w:rsidP="00901C1A">
            <w:pPr>
              <w:jc w:val="center"/>
              <w:rPr>
                <w:sz w:val="24"/>
                <w:szCs w:val="24"/>
              </w:rPr>
            </w:pPr>
            <w:r>
              <w:rPr>
                <w:sz w:val="24"/>
                <w:szCs w:val="24"/>
              </w:rPr>
              <w:t>1</w:t>
            </w:r>
            <w:r w:rsidR="00A75739">
              <w:rPr>
                <w:sz w:val="24"/>
                <w:szCs w:val="24"/>
              </w:rPr>
              <w:t>2</w:t>
            </w:r>
            <w:r>
              <w:rPr>
                <w:sz w:val="24"/>
                <w:szCs w:val="24"/>
              </w:rPr>
              <w:t>:30</w:t>
            </w:r>
          </w:p>
        </w:tc>
        <w:tc>
          <w:tcPr>
            <w:tcW w:w="6461" w:type="dxa"/>
            <w:gridSpan w:val="2"/>
          </w:tcPr>
          <w:p w14:paraId="493C5073" w14:textId="7E8CBAD8" w:rsidR="00901C1A" w:rsidRDefault="00A75739" w:rsidP="00A75739">
            <w:pPr>
              <w:rPr>
                <w:sz w:val="24"/>
                <w:szCs w:val="24"/>
              </w:rPr>
            </w:pPr>
            <w:r>
              <w:rPr>
                <w:sz w:val="24"/>
                <w:szCs w:val="24"/>
              </w:rPr>
              <w:t>Pequeño reces</w:t>
            </w:r>
            <w:r w:rsidR="00AE5F1F">
              <w:rPr>
                <w:sz w:val="24"/>
                <w:szCs w:val="24"/>
              </w:rPr>
              <w:t>o</w:t>
            </w:r>
          </w:p>
        </w:tc>
      </w:tr>
      <w:tr w:rsidR="00901C1A" w14:paraId="4422329D" w14:textId="77777777" w:rsidTr="00AE5F1F">
        <w:trPr>
          <w:trHeight w:val="544"/>
        </w:trPr>
        <w:tc>
          <w:tcPr>
            <w:tcW w:w="852" w:type="dxa"/>
          </w:tcPr>
          <w:p w14:paraId="211FACA7" w14:textId="496BE09B" w:rsidR="00901C1A" w:rsidRDefault="00901C1A" w:rsidP="00901C1A">
            <w:pPr>
              <w:jc w:val="center"/>
              <w:rPr>
                <w:sz w:val="24"/>
                <w:szCs w:val="24"/>
              </w:rPr>
            </w:pPr>
            <w:r>
              <w:rPr>
                <w:sz w:val="24"/>
                <w:szCs w:val="24"/>
              </w:rPr>
              <w:t>1</w:t>
            </w:r>
            <w:r w:rsidR="00A75739">
              <w:rPr>
                <w:sz w:val="24"/>
                <w:szCs w:val="24"/>
              </w:rPr>
              <w:t>2</w:t>
            </w:r>
            <w:r>
              <w:rPr>
                <w:sz w:val="24"/>
                <w:szCs w:val="24"/>
              </w:rPr>
              <w:t>:30</w:t>
            </w:r>
          </w:p>
        </w:tc>
        <w:tc>
          <w:tcPr>
            <w:tcW w:w="321" w:type="dxa"/>
          </w:tcPr>
          <w:p w14:paraId="572F5217" w14:textId="77777777" w:rsidR="00901C1A" w:rsidRDefault="00901C1A" w:rsidP="00901C1A">
            <w:pPr>
              <w:jc w:val="center"/>
              <w:rPr>
                <w:sz w:val="24"/>
                <w:szCs w:val="24"/>
              </w:rPr>
            </w:pPr>
            <w:r>
              <w:rPr>
                <w:sz w:val="24"/>
                <w:szCs w:val="24"/>
              </w:rPr>
              <w:t>-</w:t>
            </w:r>
          </w:p>
        </w:tc>
        <w:tc>
          <w:tcPr>
            <w:tcW w:w="1006" w:type="dxa"/>
          </w:tcPr>
          <w:p w14:paraId="4D6D2AE0" w14:textId="7D733457" w:rsidR="00901C1A" w:rsidRDefault="00901C1A" w:rsidP="00901C1A">
            <w:pPr>
              <w:jc w:val="center"/>
              <w:rPr>
                <w:sz w:val="24"/>
                <w:szCs w:val="24"/>
              </w:rPr>
            </w:pPr>
            <w:r>
              <w:rPr>
                <w:sz w:val="24"/>
                <w:szCs w:val="24"/>
              </w:rPr>
              <w:t>1</w:t>
            </w:r>
            <w:r w:rsidR="00A75739">
              <w:rPr>
                <w:sz w:val="24"/>
                <w:szCs w:val="24"/>
              </w:rPr>
              <w:t>4</w:t>
            </w:r>
            <w:r>
              <w:rPr>
                <w:sz w:val="24"/>
                <w:szCs w:val="24"/>
              </w:rPr>
              <w:t>:00</w:t>
            </w:r>
          </w:p>
        </w:tc>
        <w:tc>
          <w:tcPr>
            <w:tcW w:w="6461" w:type="dxa"/>
            <w:gridSpan w:val="2"/>
          </w:tcPr>
          <w:p w14:paraId="273F8D6F" w14:textId="2820824E" w:rsidR="00A75739" w:rsidRDefault="00A75739" w:rsidP="00A75739">
            <w:pPr>
              <w:rPr>
                <w:sz w:val="24"/>
                <w:szCs w:val="24"/>
              </w:rPr>
            </w:pPr>
            <w:r>
              <w:rPr>
                <w:sz w:val="24"/>
                <w:szCs w:val="24"/>
              </w:rPr>
              <w:t xml:space="preserve">LAB: Ejemplos de gráficos directos acíclicos (DAGs) para identificar “unconfoundeness”, “exchangeability”, “conditional mean independece” or “randomization”: Introducción a </w:t>
            </w:r>
            <w:r w:rsidRPr="00A75739">
              <w:rPr>
                <w:b/>
                <w:sz w:val="24"/>
                <w:szCs w:val="24"/>
              </w:rPr>
              <w:t>Daggity</w:t>
            </w:r>
            <w:r>
              <w:rPr>
                <w:sz w:val="24"/>
                <w:szCs w:val="24"/>
              </w:rPr>
              <w:t xml:space="preserve"> y </w:t>
            </w:r>
            <w:r w:rsidRPr="00A75739">
              <w:rPr>
                <w:b/>
                <w:sz w:val="24"/>
                <w:szCs w:val="24"/>
              </w:rPr>
              <w:t>ggdag</w:t>
            </w:r>
          </w:p>
          <w:p w14:paraId="17160DF5" w14:textId="77777777" w:rsidR="00901C1A" w:rsidRDefault="00901C1A" w:rsidP="00A75739">
            <w:pPr>
              <w:rPr>
                <w:sz w:val="24"/>
                <w:szCs w:val="24"/>
              </w:rPr>
            </w:pPr>
          </w:p>
        </w:tc>
      </w:tr>
      <w:tr w:rsidR="00A75739" w14:paraId="6A9936D0" w14:textId="77777777" w:rsidTr="00AE5F1F">
        <w:trPr>
          <w:gridAfter w:val="1"/>
          <w:wAfter w:w="1215" w:type="dxa"/>
          <w:trHeight w:val="544"/>
        </w:trPr>
        <w:tc>
          <w:tcPr>
            <w:tcW w:w="7425" w:type="dxa"/>
            <w:gridSpan w:val="4"/>
          </w:tcPr>
          <w:p w14:paraId="416F4017" w14:textId="213A29A4" w:rsidR="00A75739" w:rsidRDefault="00AE5F1F" w:rsidP="00901C1A">
            <w:pPr>
              <w:rPr>
                <w:sz w:val="24"/>
                <w:szCs w:val="24"/>
              </w:rPr>
            </w:pPr>
            <w:bookmarkStart w:id="0" w:name="_GoBack"/>
            <w:r w:rsidRPr="00B3557D">
              <w:rPr>
                <w:sz w:val="24"/>
                <w:szCs w:val="24"/>
                <w:u w:val="single"/>
              </w:rPr>
              <w:t>Lectura recomendada:</w:t>
            </w:r>
            <w:r>
              <w:rPr>
                <w:sz w:val="24"/>
                <w:szCs w:val="24"/>
              </w:rPr>
              <w:t xml:space="preserve"> </w:t>
            </w:r>
            <w:bookmarkEnd w:id="0"/>
            <w:r w:rsidR="00B3557D">
              <w:fldChar w:fldCharType="begin"/>
            </w:r>
            <w:r w:rsidR="00B3557D">
              <w:instrText xml:space="preserve"> HYPERLINK "https://academic.oup.com/ije/advance-article/doi/10.1093/ije/dyy275/5248195" </w:instrText>
            </w:r>
            <w:r w:rsidR="00B3557D">
              <w:fldChar w:fldCharType="separate"/>
            </w:r>
            <w:r w:rsidRPr="00D72234">
              <w:rPr>
                <w:rStyle w:val="Hyperlink"/>
                <w:sz w:val="24"/>
                <w:szCs w:val="24"/>
              </w:rPr>
              <w:t>https://academic.oup.com/ije/advance-article/doi/10.1093/ije/dyy275/5248195</w:t>
            </w:r>
            <w:r w:rsidR="00B3557D">
              <w:rPr>
                <w:rStyle w:val="Hyperlink"/>
                <w:sz w:val="24"/>
                <w:szCs w:val="24"/>
              </w:rPr>
              <w:fldChar w:fldCharType="end"/>
            </w:r>
          </w:p>
          <w:p w14:paraId="6C469399" w14:textId="0A56DD2A" w:rsidR="00AE5F1F" w:rsidRDefault="00AE5F1F" w:rsidP="00901C1A">
            <w:pPr>
              <w:rPr>
                <w:sz w:val="24"/>
                <w:szCs w:val="24"/>
              </w:rPr>
            </w:pPr>
          </w:p>
        </w:tc>
      </w:tr>
      <w:tr w:rsidR="00A75739" w:rsidRPr="00B3557D" w14:paraId="38095BE1" w14:textId="77777777" w:rsidTr="00AE5F1F">
        <w:trPr>
          <w:gridAfter w:val="1"/>
          <w:wAfter w:w="1215" w:type="dxa"/>
          <w:trHeight w:val="544"/>
        </w:trPr>
        <w:tc>
          <w:tcPr>
            <w:tcW w:w="7425" w:type="dxa"/>
            <w:gridSpan w:val="4"/>
          </w:tcPr>
          <w:p w14:paraId="66E05EB4" w14:textId="77777777" w:rsidR="00AE5F1F" w:rsidRDefault="00AE5F1F" w:rsidP="00A75739">
            <w:pPr>
              <w:rPr>
                <w:sz w:val="24"/>
                <w:szCs w:val="24"/>
              </w:rPr>
            </w:pPr>
            <w:r w:rsidRPr="00B3557D">
              <w:rPr>
                <w:sz w:val="24"/>
                <w:szCs w:val="24"/>
                <w:u w:val="single"/>
              </w:rPr>
              <w:t>Material necesario para el workshop</w:t>
            </w:r>
            <w:r>
              <w:rPr>
                <w:sz w:val="24"/>
                <w:szCs w:val="24"/>
              </w:rPr>
              <w:t xml:space="preserve">: </w:t>
            </w:r>
          </w:p>
          <w:p w14:paraId="0EAE5AE3" w14:textId="577BA10F" w:rsidR="00A75739" w:rsidRDefault="00AE5F1F" w:rsidP="00A75739">
            <w:pPr>
              <w:rPr>
                <w:sz w:val="24"/>
                <w:szCs w:val="24"/>
              </w:rPr>
            </w:pPr>
            <w:r>
              <w:rPr>
                <w:sz w:val="24"/>
                <w:szCs w:val="24"/>
              </w:rPr>
              <w:t xml:space="preserve">Los asistentes deberán de llevar su computadora con Rstudio </w:t>
            </w:r>
            <w:r w:rsidR="00B3557D">
              <w:rPr>
                <w:sz w:val="24"/>
                <w:szCs w:val="24"/>
              </w:rPr>
              <w:t>instalado y en la conferencia deberemos disponer con</w:t>
            </w:r>
            <w:r>
              <w:rPr>
                <w:sz w:val="24"/>
                <w:szCs w:val="24"/>
              </w:rPr>
              <w:t xml:space="preserve"> acceso </w:t>
            </w:r>
            <w:r w:rsidR="00B3557D">
              <w:rPr>
                <w:sz w:val="24"/>
                <w:szCs w:val="24"/>
              </w:rPr>
              <w:t xml:space="preserve">libre </w:t>
            </w:r>
            <w:r>
              <w:rPr>
                <w:sz w:val="24"/>
                <w:szCs w:val="24"/>
              </w:rPr>
              <w:t>a internet.</w:t>
            </w:r>
          </w:p>
          <w:p w14:paraId="513C821E" w14:textId="77777777" w:rsidR="00AE5F1F" w:rsidRDefault="00AE5F1F" w:rsidP="00A75739">
            <w:pPr>
              <w:rPr>
                <w:sz w:val="24"/>
                <w:szCs w:val="24"/>
              </w:rPr>
            </w:pPr>
          </w:p>
          <w:p w14:paraId="56D311EE" w14:textId="77777777" w:rsidR="00AE5F1F" w:rsidRPr="00AE5F1F" w:rsidRDefault="00AE5F1F" w:rsidP="00AE5F1F">
            <w:pPr>
              <w:rPr>
                <w:b/>
                <w:sz w:val="24"/>
                <w:szCs w:val="24"/>
              </w:rPr>
            </w:pPr>
            <w:r w:rsidRPr="00AE5F1F">
              <w:rPr>
                <w:b/>
                <w:sz w:val="24"/>
                <w:szCs w:val="24"/>
              </w:rPr>
              <w:t>Docentes:</w:t>
            </w:r>
          </w:p>
          <w:p w14:paraId="7A63BD5C" w14:textId="77777777" w:rsidR="00AE5F1F" w:rsidRPr="00AE5F1F" w:rsidRDefault="00AE5F1F" w:rsidP="00AE5F1F">
            <w:pPr>
              <w:pStyle w:val="NormalWeb"/>
              <w:rPr>
                <w:rFonts w:asciiTheme="minorHAnsi" w:eastAsiaTheme="minorHAnsi" w:hAnsiTheme="minorHAnsi" w:cstheme="minorBidi"/>
                <w:b/>
                <w:lang w:val="es-ES"/>
              </w:rPr>
            </w:pPr>
            <w:r w:rsidRPr="00AE5F1F">
              <w:rPr>
                <w:rFonts w:asciiTheme="minorHAnsi" w:eastAsiaTheme="minorHAnsi" w:hAnsiTheme="minorHAnsi" w:cstheme="minorBidi"/>
                <w:b/>
                <w:lang w:val="es-ES"/>
              </w:rPr>
              <w:t>Miguel Angel Luque-Fernandez, MA, MPH, MSc, PhD</w:t>
            </w:r>
          </w:p>
          <w:p w14:paraId="5F6473D2" w14:textId="2F2270D0" w:rsidR="00AE5F1F" w:rsidRPr="00B3557D" w:rsidRDefault="00AE5F1F" w:rsidP="00AE5F1F">
            <w:pPr>
              <w:pStyle w:val="NormalWeb"/>
              <w:jc w:val="both"/>
              <w:rPr>
                <w:rFonts w:asciiTheme="minorHAnsi" w:eastAsiaTheme="minorHAnsi" w:hAnsiTheme="minorHAnsi" w:cstheme="minorBidi"/>
              </w:rPr>
            </w:pPr>
            <w:r w:rsidRPr="00B3557D">
              <w:rPr>
                <w:rFonts w:asciiTheme="minorHAnsi" w:eastAsiaTheme="minorHAnsi" w:hAnsiTheme="minorHAnsi" w:cstheme="minorBidi"/>
              </w:rPr>
              <w:t xml:space="preserve">Luque-Fernandez is an Assistant Professor of Epidemiology (honorary) at the London School of Hygiene and Tropical Medicine and senior Epidemiologist and Biostatistician at the Biomedical Research Institute of Granada, University of Granada. Also, Luque-Fernandez holds appointments as a scientific collaborator with the Department of Biostatistics of the Berkeley School of Public Health, the Department of Epidemiology at the Harvard TH Chan School of Public Health and the Spanish Biomedical Network Research Centers of Epidemiology and Public Health (CIBERESP, ISCIII). Luque-Fernandez research interests lie principally, but not exclusively in the field of epidemiological methods and comparative effectiveness (causal inference) research targeting the socioeconomic inequalities in cancer outcomes. Currently, he is developing </w:t>
            </w:r>
            <w:r w:rsidRPr="00B3557D">
              <w:rPr>
                <w:rFonts w:asciiTheme="minorHAnsi" w:eastAsiaTheme="minorHAnsi" w:hAnsiTheme="minorHAnsi" w:cstheme="minorBidi"/>
              </w:rPr>
              <w:lastRenderedPageBreak/>
              <w:t xml:space="preserve">in collaboration with colleagues from the Cancer Survival Group (CSG) at the LSHTM data-adaptive methods for model selection and evaluation based on cross-validation techniques and applying advanced causal inference methods such as targeted maximum likelihood estimation </w:t>
            </w:r>
            <w:hyperlink r:id="rId5" w:tgtFrame="_blank" w:history="1">
              <w:r w:rsidRPr="00B3557D">
                <w:rPr>
                  <w:rFonts w:asciiTheme="minorHAnsi" w:eastAsiaTheme="minorHAnsi" w:hAnsiTheme="minorHAnsi" w:cstheme="minorBidi"/>
                </w:rPr>
                <w:t>TMLE</w:t>
              </w:r>
            </w:hyperlink>
            <w:r w:rsidRPr="00B3557D">
              <w:rPr>
                <w:rFonts w:asciiTheme="minorHAnsi" w:eastAsiaTheme="minorHAnsi" w:hAnsiTheme="minorHAnsi" w:cstheme="minorBidi"/>
              </w:rPr>
              <w:t xml:space="preserve"> to study cancer outcomes.</w:t>
            </w:r>
          </w:p>
          <w:p w14:paraId="2BBC33CE" w14:textId="77777777" w:rsidR="00AE5F1F" w:rsidRPr="00B3557D" w:rsidRDefault="00AE5F1F" w:rsidP="00AE5F1F">
            <w:pPr>
              <w:pStyle w:val="NormalWeb"/>
              <w:jc w:val="both"/>
              <w:rPr>
                <w:rFonts w:asciiTheme="minorHAnsi" w:eastAsiaTheme="minorHAnsi" w:hAnsiTheme="minorHAnsi" w:cstheme="minorBidi"/>
                <w:b/>
              </w:rPr>
            </w:pPr>
            <w:r w:rsidRPr="00B3557D">
              <w:rPr>
                <w:rFonts w:asciiTheme="minorHAnsi" w:eastAsiaTheme="minorHAnsi" w:hAnsiTheme="minorHAnsi" w:cstheme="minorBidi"/>
                <w:b/>
              </w:rPr>
              <w:t>Daniel Redondo-Sánchez, BSc</w:t>
            </w:r>
          </w:p>
          <w:p w14:paraId="6E1C2A9E" w14:textId="77777777" w:rsidR="00AE5F1F" w:rsidRPr="00B3557D" w:rsidRDefault="00AE5F1F" w:rsidP="00AE5F1F">
            <w:pPr>
              <w:pStyle w:val="NormalWeb"/>
              <w:jc w:val="both"/>
              <w:rPr>
                <w:rFonts w:asciiTheme="minorHAnsi" w:eastAsiaTheme="minorHAnsi" w:hAnsiTheme="minorHAnsi" w:cstheme="minorBidi"/>
              </w:rPr>
            </w:pPr>
            <w:r w:rsidRPr="00B3557D">
              <w:rPr>
                <w:rFonts w:asciiTheme="minorHAnsi" w:eastAsiaTheme="minorHAnsi" w:hAnsiTheme="minorHAnsi" w:cstheme="minorBidi"/>
              </w:rPr>
              <w:t>Daniel Redondo-Sánchez is a mathematician (University of Granada) specialized in Epidemiology (Andalusian School of Public Health and University of Granada). He is currently studying socioeconomic inequalities in the geographic distribution of incidence, mortality and net survival of cancer in Spain. Redondo-Sánchez holds a research position at the Biomedical Research Institute of Granada and is a research collaborator in the Biomedical Network Research Centers of Epidemiology and Public Health (CIBERESP, ISCIII).</w:t>
            </w:r>
          </w:p>
          <w:p w14:paraId="563B3266" w14:textId="2A92A510" w:rsidR="00AE5F1F" w:rsidRPr="00B3557D" w:rsidRDefault="00AE5F1F" w:rsidP="00A75739">
            <w:pPr>
              <w:rPr>
                <w:sz w:val="24"/>
                <w:szCs w:val="24"/>
                <w:lang w:val="en-US"/>
              </w:rPr>
            </w:pPr>
          </w:p>
        </w:tc>
      </w:tr>
    </w:tbl>
    <w:p w14:paraId="4D119E2D" w14:textId="77777777" w:rsidR="00614695" w:rsidRPr="00AE5F1F" w:rsidRDefault="00614695" w:rsidP="00D017DC">
      <w:pPr>
        <w:rPr>
          <w:lang w:val="en-US"/>
        </w:rPr>
      </w:pPr>
    </w:p>
    <w:sectPr w:rsidR="00614695" w:rsidRPr="00AE5F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26"/>
    <w:rsid w:val="00036939"/>
    <w:rsid w:val="0059185B"/>
    <w:rsid w:val="00614695"/>
    <w:rsid w:val="006C2B18"/>
    <w:rsid w:val="008B352B"/>
    <w:rsid w:val="008D4626"/>
    <w:rsid w:val="00901C1A"/>
    <w:rsid w:val="00A75739"/>
    <w:rsid w:val="00AE5F1F"/>
    <w:rsid w:val="00B3557D"/>
    <w:rsid w:val="00B65E61"/>
    <w:rsid w:val="00D017DC"/>
    <w:rsid w:val="00D02CDD"/>
    <w:rsid w:val="00FB1FF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FAD510"/>
  <w15:docId w15:val="{BB4249CD-D357-8648-8333-08542D6D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5F1F"/>
    <w:rPr>
      <w:color w:val="0563C1" w:themeColor="hyperlink"/>
      <w:u w:val="single"/>
    </w:rPr>
  </w:style>
  <w:style w:type="character" w:styleId="UnresolvedMention">
    <w:name w:val="Unresolved Mention"/>
    <w:basedOn w:val="DefaultParagraphFont"/>
    <w:uiPriority w:val="99"/>
    <w:semiHidden/>
    <w:unhideWhenUsed/>
    <w:rsid w:val="00AE5F1F"/>
    <w:rPr>
      <w:color w:val="605E5C"/>
      <w:shd w:val="clear" w:color="auto" w:fill="E1DFDD"/>
    </w:rPr>
  </w:style>
  <w:style w:type="paragraph" w:styleId="NormalWeb">
    <w:name w:val="Normal (Web)"/>
    <w:basedOn w:val="Normal"/>
    <w:uiPriority w:val="99"/>
    <w:semiHidden/>
    <w:unhideWhenUsed/>
    <w:rsid w:val="00AE5F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igariane/meltmle" TargetMode="External"/><Relationship Id="rId4" Type="http://schemas.openxmlformats.org/officeDocument/2006/relationships/hyperlink" Target="http://watzilei.com/shiny/collid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467</Words>
  <Characters>2668</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Redondo Sánchez</dc:creator>
  <cp:keywords/>
  <dc:description/>
  <cp:lastModifiedBy>Miguel-Angel Luque</cp:lastModifiedBy>
  <cp:revision>5</cp:revision>
  <dcterms:created xsi:type="dcterms:W3CDTF">2019-04-12T18:55:00Z</dcterms:created>
  <dcterms:modified xsi:type="dcterms:W3CDTF">2019-04-12T19:30:00Z</dcterms:modified>
</cp:coreProperties>
</file>