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Muzzall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Jupyter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1CAB9160" w:rsidR="00DD3673" w:rsidRPr="00DD3673" w:rsidRDefault="00DD3673" w:rsidP="00082879">
            <w:r w:rsidRPr="00DD3673">
              <w:t xml:space="preserve">July </w:t>
            </w:r>
            <w:r w:rsidR="000D2C04">
              <w:t>5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24539215" w:rsidR="00DD3673" w:rsidRPr="00DD3673" w:rsidRDefault="00DD3673" w:rsidP="00082879">
            <w:r w:rsidRPr="00DD3673">
              <w:t xml:space="preserve">June </w:t>
            </w:r>
            <w:r w:rsidR="007419DA">
              <w:t>22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3DC6F4C8" w:rsidR="00DD3673" w:rsidRPr="00DD3673" w:rsidRDefault="00DD3673" w:rsidP="00082879">
            <w:r w:rsidRPr="00DD3673">
              <w:t xml:space="preserve">June </w:t>
            </w:r>
            <w:r w:rsidR="007419DA">
              <w:t>22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r w:rsidRPr="00DD3673">
              <w:t>Jupyter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7F3AFDCA" w:rsidR="00DD3673" w:rsidRPr="00DD3673" w:rsidRDefault="00DD3673" w:rsidP="00082879">
            <w:r w:rsidRPr="00DD3673">
              <w:t xml:space="preserve">July </w:t>
            </w:r>
            <w:r w:rsidR="000D2C04">
              <w:t>5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bCourses. </w:t>
      </w:r>
    </w:p>
    <w:p w14:paraId="1EFF3D0B" w14:textId="14784F1A" w:rsidR="004C75B1" w:rsidRDefault="00E7370C">
      <w:r>
        <w:t>Grading is straight scale: A=90-100; B=80-89; C=70-79; D=60-69; F&lt;</w:t>
      </w:r>
      <w:r w:rsidR="00B65B69">
        <w:t>60</w:t>
      </w:r>
      <w:r w:rsidR="004C75B1"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>(submit to bCourses)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3-5 minute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3EF90DEB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>proposal to bCourses</w:t>
      </w:r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D8F68D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bCourses.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  <w:r w:rsidR="00903C51">
        <w:t xml:space="preserve"> </w:t>
      </w:r>
      <w:r w:rsidR="00903C51" w:rsidRPr="00903C51">
        <w:rPr>
          <w:b/>
        </w:rPr>
        <w:t>Use 10-12 point font</w:t>
      </w:r>
      <w:r w:rsidR="00903C51">
        <w:rPr>
          <w:b/>
        </w:rPr>
        <w:t xml:space="preserve"> and include references cited!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>Each group will present a 10-12 minute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>to bCourses)</w:t>
      </w:r>
      <w:r w:rsidR="00F03EA5">
        <w:rPr>
          <w:b/>
        </w:rPr>
        <w:t>:</w:t>
      </w:r>
    </w:p>
    <w:p w14:paraId="06370909" w14:textId="5B0190C8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  <w:r w:rsidR="00C84366" w:rsidRPr="00903C51">
        <w:rPr>
          <w:b/>
        </w:rPr>
        <w:t>Use 10-12 point font</w:t>
      </w:r>
      <w:r w:rsidR="00C84366">
        <w:rPr>
          <w:b/>
        </w:rPr>
        <w:t>.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Jupyter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bCourses):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00"/>
        <w:gridCol w:w="1265"/>
        <w:gridCol w:w="8370"/>
      </w:tblGrid>
      <w:tr w:rsidR="00F07F05" w14:paraId="74371DC1" w14:textId="161608A0" w:rsidTr="00AA3901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37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AA3901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37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>and Jupyter Notebooks</w:t>
            </w:r>
          </w:p>
        </w:tc>
      </w:tr>
      <w:tr w:rsidR="00F07F05" w14:paraId="0C6C3B1D" w14:textId="2EC28727" w:rsidTr="00AA3901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37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AA3901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AA3901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370" w:type="dxa"/>
          </w:tcPr>
          <w:p w14:paraId="64F88766" w14:textId="77777777" w:rsidR="00F07F05" w:rsidRDefault="00F07F05"/>
        </w:tc>
      </w:tr>
      <w:tr w:rsidR="005012E7" w14:paraId="0E9417A5" w14:textId="6FBC3BF4" w:rsidTr="00AA3901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37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>ata formats (txt, csv, xml, json)</w:t>
            </w:r>
          </w:p>
        </w:tc>
      </w:tr>
      <w:tr w:rsidR="005012E7" w14:paraId="5B31559D" w14:textId="0E359B3D" w:rsidTr="00AA3901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37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AA3901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370" w:type="dxa"/>
          </w:tcPr>
          <w:p w14:paraId="407C4C24" w14:textId="4FFEE773" w:rsidR="005012E7" w:rsidRDefault="00082441" w:rsidP="005012E7">
            <w:r>
              <w:t>Data visualization: Histogram, barchart, boxplot, scatterplot, network</w:t>
            </w:r>
          </w:p>
        </w:tc>
      </w:tr>
      <w:tr w:rsidR="005012E7" w14:paraId="2FBFB432" w14:textId="399C1325" w:rsidTr="00AA3901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AA3901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37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AA3901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370" w:type="dxa"/>
          </w:tcPr>
          <w:p w14:paraId="5F7A7F42" w14:textId="7993F478" w:rsidR="005012E7" w:rsidRDefault="00082441" w:rsidP="005012E7">
            <w:r>
              <w:t>Introduction to geospatial data; GeoPandas</w:t>
            </w:r>
          </w:p>
        </w:tc>
      </w:tr>
      <w:tr w:rsidR="005012E7" w14:paraId="3FCF9EC6" w14:textId="377D7CE8" w:rsidTr="00AA3901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370" w:type="dxa"/>
          </w:tcPr>
          <w:p w14:paraId="56EFF377" w14:textId="08208D7E" w:rsidR="005012E7" w:rsidRDefault="00082441" w:rsidP="005012E7">
            <w:r>
              <w:t xml:space="preserve">APIs: </w:t>
            </w:r>
            <w:r w:rsidR="00E95FD3">
              <w:t xml:space="preserve">Google Books, </w:t>
            </w:r>
            <w:r>
              <w:t>praw, tweepy</w:t>
            </w:r>
          </w:p>
        </w:tc>
      </w:tr>
      <w:tr w:rsidR="005012E7" w14:paraId="0D474062" w14:textId="44F5CF2D" w:rsidTr="00AA3901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370" w:type="dxa"/>
          </w:tcPr>
          <w:p w14:paraId="7E0D1FA4" w14:textId="766270AE" w:rsidR="005012E7" w:rsidRDefault="00EC3705" w:rsidP="005012E7">
            <w:r>
              <w:t>Webscraping</w:t>
            </w:r>
          </w:p>
        </w:tc>
      </w:tr>
      <w:tr w:rsidR="00EC3705" w14:paraId="767A73D5" w14:textId="6C40E354" w:rsidTr="00AA390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37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AA3901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37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AA390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37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A3901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37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AA3901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37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r w:rsidR="009C09C5">
              <w:t>CountVectorizer and TfidfVectorizer</w:t>
            </w:r>
          </w:p>
        </w:tc>
      </w:tr>
      <w:tr w:rsidR="00EC3705" w14:paraId="52641353" w14:textId="25F5CD16" w:rsidTr="00AA3901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AA3901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37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AA3901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370" w:type="dxa"/>
          </w:tcPr>
          <w:p w14:paraId="52960174" w14:textId="56F2EA8B" w:rsidR="00331705" w:rsidRDefault="00331705" w:rsidP="00331705">
            <w:r>
              <w:t xml:space="preserve">Machine learning: Topic modeling; </w:t>
            </w:r>
            <w:r w:rsidR="00756609">
              <w:t>Word2Vec</w:t>
            </w:r>
            <w:r w:rsidR="00AA3901">
              <w:t xml:space="preserve">, </w:t>
            </w:r>
            <w:bookmarkStart w:id="0" w:name="_GoBack"/>
            <w:bookmarkEnd w:id="0"/>
            <w:r>
              <w:t>BERT</w:t>
            </w:r>
            <w:r w:rsidR="00037E05">
              <w:t xml:space="preserve"> intro</w:t>
            </w:r>
            <w:r w:rsidR="008843C6">
              <w:t>; Sentiment analysis</w:t>
            </w:r>
          </w:p>
        </w:tc>
      </w:tr>
      <w:tr w:rsidR="00331705" w14:paraId="1F313948" w14:textId="4DA958F5" w:rsidTr="00AA3901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370" w:type="dxa"/>
          </w:tcPr>
          <w:p w14:paraId="1B1D3679" w14:textId="5160CBC6" w:rsidR="00331705" w:rsidRDefault="008843C6" w:rsidP="00331705">
            <w:r>
              <w:t>GitHub</w:t>
            </w:r>
            <w:r w:rsidR="00145C2E">
              <w:t>/homework/work</w:t>
            </w:r>
            <w:r>
              <w:t xml:space="preserve"> day </w:t>
            </w:r>
          </w:p>
        </w:tc>
      </w:tr>
      <w:tr w:rsidR="00331705" w14:paraId="62B7C3F0" w14:textId="01F7DB90" w:rsidTr="00AA3901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37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AA3901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AA3901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37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AA3901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AA3901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AA3901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AA3901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bCourses.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14D90" w14:textId="77777777" w:rsidR="0084344B" w:rsidRDefault="0084344B" w:rsidP="00473012">
      <w:r>
        <w:separator/>
      </w:r>
    </w:p>
  </w:endnote>
  <w:endnote w:type="continuationSeparator" w:id="0">
    <w:p w14:paraId="21A40536" w14:textId="77777777" w:rsidR="0084344B" w:rsidRDefault="0084344B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984D" w14:textId="77777777" w:rsidR="0084344B" w:rsidRDefault="0084344B" w:rsidP="00473012">
      <w:r>
        <w:separator/>
      </w:r>
    </w:p>
  </w:footnote>
  <w:footnote w:type="continuationSeparator" w:id="0">
    <w:p w14:paraId="092BC195" w14:textId="77777777" w:rsidR="0084344B" w:rsidRDefault="0084344B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37E05"/>
    <w:rsid w:val="00082441"/>
    <w:rsid w:val="00082879"/>
    <w:rsid w:val="000838AF"/>
    <w:rsid w:val="000B4504"/>
    <w:rsid w:val="000B5527"/>
    <w:rsid w:val="000C386A"/>
    <w:rsid w:val="000D2C04"/>
    <w:rsid w:val="000F04B5"/>
    <w:rsid w:val="000F30ED"/>
    <w:rsid w:val="00113C9E"/>
    <w:rsid w:val="0012216F"/>
    <w:rsid w:val="00145C2E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32EFC"/>
    <w:rsid w:val="00547A1C"/>
    <w:rsid w:val="005548AF"/>
    <w:rsid w:val="005633A1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11AC"/>
    <w:rsid w:val="006D3ED7"/>
    <w:rsid w:val="006D5958"/>
    <w:rsid w:val="00704F53"/>
    <w:rsid w:val="007205B0"/>
    <w:rsid w:val="00727889"/>
    <w:rsid w:val="007419DA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344B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43C6"/>
    <w:rsid w:val="00887854"/>
    <w:rsid w:val="008B67F6"/>
    <w:rsid w:val="008B72FA"/>
    <w:rsid w:val="008D18E0"/>
    <w:rsid w:val="008D3620"/>
    <w:rsid w:val="008D497C"/>
    <w:rsid w:val="008F0DD4"/>
    <w:rsid w:val="008F160B"/>
    <w:rsid w:val="00903C51"/>
    <w:rsid w:val="0090601C"/>
    <w:rsid w:val="00907810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A3901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5B69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70C0C"/>
    <w:rsid w:val="00C84366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173C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7370C"/>
    <w:rsid w:val="00E95FD3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20E2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276</cp:revision>
  <dcterms:created xsi:type="dcterms:W3CDTF">2020-05-12T00:20:00Z</dcterms:created>
  <dcterms:modified xsi:type="dcterms:W3CDTF">2020-06-20T23:30:00Z</dcterms:modified>
</cp:coreProperties>
</file>