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Default="00FE43A9"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5</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61C4160" w:rsidR="00194DF6" w:rsidRDefault="00E631E5" w:rsidP="00855008">
      <w:pPr>
        <w:pStyle w:val="Heading3"/>
        <w:tabs>
          <w:tab w:val="left" w:pos="2865"/>
        </w:tabs>
      </w:pPr>
      <w:r>
        <w:t>Introduction</w:t>
      </w:r>
    </w:p>
    <w:p w14:paraId="68AD95CB" w14:textId="77777777" w:rsidR="00855008" w:rsidRDefault="00855008" w:rsidP="00855008">
      <w:r>
        <w:t>1.   For the 2x2 table, determine the odds and the probabilities of texting while driving among males and females.  Then compute the odds ratio of texting while driving that compares males to females.  (5 points)</w:t>
      </w:r>
    </w:p>
    <w:tbl>
      <w:tblPr>
        <w:tblStyle w:val="TableGrid"/>
        <w:tblW w:w="0" w:type="auto"/>
        <w:tblLook w:val="04A0" w:firstRow="1" w:lastRow="0" w:firstColumn="1" w:lastColumn="0" w:noHBand="0" w:noVBand="1"/>
      </w:tblPr>
      <w:tblGrid>
        <w:gridCol w:w="3116"/>
        <w:gridCol w:w="3117"/>
        <w:gridCol w:w="3117"/>
      </w:tblGrid>
      <w:tr w:rsidR="00855008" w14:paraId="76CB3B55" w14:textId="77777777" w:rsidTr="00937895">
        <w:tc>
          <w:tcPr>
            <w:tcW w:w="3116" w:type="dxa"/>
            <w:shd w:val="clear" w:color="auto" w:fill="BFBFBF" w:themeFill="background1" w:themeFillShade="BF"/>
          </w:tcPr>
          <w:p w14:paraId="66587DBC" w14:textId="77777777" w:rsidR="00855008" w:rsidRPr="005B20E9" w:rsidRDefault="00855008" w:rsidP="00937895">
            <w:pPr>
              <w:jc w:val="center"/>
              <w:rPr>
                <w:b/>
              </w:rPr>
            </w:pPr>
            <w:r w:rsidRPr="005B20E9">
              <w:rPr>
                <w:b/>
              </w:rPr>
              <w:t>Texting While Driving</w:t>
            </w:r>
          </w:p>
        </w:tc>
        <w:tc>
          <w:tcPr>
            <w:tcW w:w="3117" w:type="dxa"/>
            <w:shd w:val="clear" w:color="auto" w:fill="BFBFBF" w:themeFill="background1" w:themeFillShade="BF"/>
          </w:tcPr>
          <w:p w14:paraId="6BDC9233" w14:textId="77777777" w:rsidR="00855008" w:rsidRPr="005B20E9" w:rsidRDefault="00855008" w:rsidP="00937895">
            <w:pPr>
              <w:jc w:val="center"/>
              <w:rPr>
                <w:b/>
              </w:rPr>
            </w:pPr>
            <w:r w:rsidRPr="005B20E9">
              <w:rPr>
                <w:b/>
              </w:rPr>
              <w:t>MALE</w:t>
            </w:r>
          </w:p>
        </w:tc>
        <w:tc>
          <w:tcPr>
            <w:tcW w:w="3117" w:type="dxa"/>
            <w:shd w:val="clear" w:color="auto" w:fill="BFBFBF" w:themeFill="background1" w:themeFillShade="BF"/>
          </w:tcPr>
          <w:p w14:paraId="07E1A6DE" w14:textId="77777777" w:rsidR="00855008" w:rsidRPr="005B20E9" w:rsidRDefault="00855008" w:rsidP="00937895">
            <w:pPr>
              <w:jc w:val="center"/>
              <w:rPr>
                <w:b/>
              </w:rPr>
            </w:pPr>
            <w:r w:rsidRPr="005B20E9">
              <w:rPr>
                <w:b/>
              </w:rPr>
              <w:t>FEMALE</w:t>
            </w:r>
          </w:p>
        </w:tc>
      </w:tr>
      <w:tr w:rsidR="00855008" w14:paraId="5B95FD57" w14:textId="77777777" w:rsidTr="00937895">
        <w:tc>
          <w:tcPr>
            <w:tcW w:w="3116" w:type="dxa"/>
            <w:shd w:val="clear" w:color="auto" w:fill="BFBFBF" w:themeFill="background1" w:themeFillShade="BF"/>
          </w:tcPr>
          <w:p w14:paraId="6DB01DEB" w14:textId="77777777" w:rsidR="00855008" w:rsidRPr="005B20E9" w:rsidRDefault="00855008" w:rsidP="00937895">
            <w:pPr>
              <w:jc w:val="center"/>
              <w:rPr>
                <w:b/>
              </w:rPr>
            </w:pPr>
            <w:r w:rsidRPr="005B20E9">
              <w:rPr>
                <w:b/>
              </w:rPr>
              <w:t>YES</w:t>
            </w:r>
          </w:p>
        </w:tc>
        <w:tc>
          <w:tcPr>
            <w:tcW w:w="3117" w:type="dxa"/>
          </w:tcPr>
          <w:p w14:paraId="1878ABE5" w14:textId="77777777" w:rsidR="00855008" w:rsidRDefault="00855008" w:rsidP="00937895">
            <w:pPr>
              <w:jc w:val="center"/>
            </w:pPr>
            <w:r>
              <w:t>30</w:t>
            </w:r>
          </w:p>
        </w:tc>
        <w:tc>
          <w:tcPr>
            <w:tcW w:w="3117" w:type="dxa"/>
          </w:tcPr>
          <w:p w14:paraId="68673CD7" w14:textId="77777777" w:rsidR="00855008" w:rsidRDefault="00855008" w:rsidP="00937895">
            <w:pPr>
              <w:jc w:val="center"/>
            </w:pPr>
            <w:r>
              <w:t>34</w:t>
            </w:r>
          </w:p>
        </w:tc>
      </w:tr>
      <w:tr w:rsidR="00855008" w14:paraId="727B5EE0" w14:textId="77777777" w:rsidTr="00937895">
        <w:tc>
          <w:tcPr>
            <w:tcW w:w="3116" w:type="dxa"/>
            <w:shd w:val="clear" w:color="auto" w:fill="BFBFBF" w:themeFill="background1" w:themeFillShade="BF"/>
          </w:tcPr>
          <w:p w14:paraId="2424C866" w14:textId="77777777" w:rsidR="00855008" w:rsidRPr="005B20E9" w:rsidRDefault="00855008" w:rsidP="00937895">
            <w:pPr>
              <w:jc w:val="center"/>
              <w:rPr>
                <w:b/>
              </w:rPr>
            </w:pPr>
            <w:r w:rsidRPr="005B20E9">
              <w:rPr>
                <w:b/>
              </w:rPr>
              <w:t>NO</w:t>
            </w:r>
          </w:p>
        </w:tc>
        <w:tc>
          <w:tcPr>
            <w:tcW w:w="3117" w:type="dxa"/>
          </w:tcPr>
          <w:p w14:paraId="3228CA12" w14:textId="77777777" w:rsidR="00855008" w:rsidRDefault="00855008" w:rsidP="00937895">
            <w:pPr>
              <w:jc w:val="center"/>
            </w:pPr>
            <w:r>
              <w:t>10</w:t>
            </w:r>
          </w:p>
        </w:tc>
        <w:tc>
          <w:tcPr>
            <w:tcW w:w="3117" w:type="dxa"/>
          </w:tcPr>
          <w:p w14:paraId="61DCE649" w14:textId="77777777" w:rsidR="00855008" w:rsidRDefault="00855008" w:rsidP="00937895">
            <w:pPr>
              <w:jc w:val="center"/>
            </w:pPr>
            <w:r>
              <w:t>6</w:t>
            </w:r>
          </w:p>
        </w:tc>
      </w:tr>
    </w:tbl>
    <w:p w14:paraId="4504EAB9" w14:textId="72990A6A" w:rsidR="00855008" w:rsidRDefault="00855008" w:rsidP="00855008"/>
    <w:p w14:paraId="74318C80" w14:textId="278648CD" w:rsidR="00713F13" w:rsidRDefault="00F4766B" w:rsidP="00F4766B">
      <w:pPr>
        <w:jc w:val="center"/>
      </w:pPr>
      <w:r>
        <w:rPr>
          <w:noProof/>
        </w:rPr>
        <w:drawing>
          <wp:inline distT="0" distB="0" distL="0" distR="0" wp14:anchorId="65A39D9D" wp14:editId="50E27244">
            <wp:extent cx="38957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95425"/>
                    </a:xfrm>
                    <a:prstGeom prst="rect">
                      <a:avLst/>
                    </a:prstGeom>
                  </pic:spPr>
                </pic:pic>
              </a:graphicData>
            </a:graphic>
          </wp:inline>
        </w:drawing>
      </w:r>
    </w:p>
    <w:p w14:paraId="1DF4BF6A" w14:textId="6DC3F232" w:rsidR="00855008" w:rsidRDefault="00855008" w:rsidP="00855008">
      <w:r>
        <w:t xml:space="preserve">2.   Download the data file </w:t>
      </w:r>
      <w:r w:rsidRPr="002E6001">
        <w:rPr>
          <w:i/>
        </w:rPr>
        <w:t>RELIGION.CSV</w:t>
      </w:r>
      <w:r>
        <w:t xml:space="preserve"> and import it into R.  Use R and your EDA skills to gain a basic understanding of this dataset.</w:t>
      </w:r>
      <w:r w:rsidR="003415E7">
        <w:t xml:space="preserve"> </w:t>
      </w:r>
      <w:r w:rsidR="007A05C9">
        <w:t xml:space="preserve"> </w:t>
      </w:r>
      <w:r>
        <w:t>Please note, there is a variable labeled RELSCHOL.  This variable indicates if a survey respondent attends a religiously affiliated private secondary school (1) or not (0).   Use this dataset to address the following questions: (</w:t>
      </w:r>
      <w:r w:rsidRPr="00A70720">
        <w:rPr>
          <w:b/>
        </w:rPr>
        <w:t>10 points</w:t>
      </w:r>
      <w:r>
        <w:t>)</w:t>
      </w:r>
      <w:bookmarkStart w:id="0" w:name="_GoBack"/>
      <w:bookmarkEnd w:id="0"/>
    </w:p>
    <w:p w14:paraId="515FF8C2" w14:textId="70915DFF" w:rsidR="00855008" w:rsidRDefault="00855008" w:rsidP="00855008">
      <w:pPr>
        <w:ind w:left="720" w:hanging="360"/>
      </w:pPr>
      <w:r>
        <w:t xml:space="preserve">a.  </w:t>
      </w:r>
      <w:r>
        <w:tab/>
        <w:t>Compute the overall odds and probability of attending a religious school, assuming this data is from a random sample.</w:t>
      </w:r>
    </w:p>
    <w:p w14:paraId="13CFFE1F" w14:textId="71919765" w:rsidR="009C0109" w:rsidRDefault="00042018" w:rsidP="009C0109">
      <w:pPr>
        <w:ind w:left="720" w:hanging="360"/>
        <w:jc w:val="center"/>
      </w:pPr>
      <w:r>
        <w:rPr>
          <w:noProof/>
        </w:rPr>
        <w:drawing>
          <wp:inline distT="0" distB="0" distL="0" distR="0" wp14:anchorId="7969EB02" wp14:editId="6F69AC87">
            <wp:extent cx="28289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895475"/>
                    </a:xfrm>
                    <a:prstGeom prst="rect">
                      <a:avLst/>
                    </a:prstGeom>
                  </pic:spPr>
                </pic:pic>
              </a:graphicData>
            </a:graphic>
          </wp:inline>
        </w:drawing>
      </w:r>
    </w:p>
    <w:p w14:paraId="69D70D9B" w14:textId="2D505D37" w:rsidR="00855008" w:rsidRDefault="00855008" w:rsidP="00855008">
      <w:pPr>
        <w:ind w:left="720" w:hanging="360"/>
      </w:pPr>
      <w:r>
        <w:t>b.</w:t>
      </w:r>
      <w:r>
        <w:tab/>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F14D055" w14:textId="6D69DE8B" w:rsidR="00C0780C" w:rsidRDefault="00B43799" w:rsidP="00B43799">
      <w:pPr>
        <w:ind w:left="720" w:hanging="360"/>
        <w:jc w:val="center"/>
      </w:pPr>
      <w:r>
        <w:rPr>
          <w:noProof/>
        </w:rPr>
        <w:lastRenderedPageBreak/>
        <w:drawing>
          <wp:inline distT="0" distB="0" distL="0" distR="0" wp14:anchorId="118B69D8" wp14:editId="2C684AE0">
            <wp:extent cx="40481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914650"/>
                    </a:xfrm>
                    <a:prstGeom prst="rect">
                      <a:avLst/>
                    </a:prstGeom>
                  </pic:spPr>
                </pic:pic>
              </a:graphicData>
            </a:graphic>
          </wp:inline>
        </w:drawing>
      </w:r>
    </w:p>
    <w:p w14:paraId="7A31D90F" w14:textId="77777777" w:rsidR="00855008" w:rsidRDefault="00855008" w:rsidP="00855008">
      <w:pPr>
        <w:ind w:left="720" w:hanging="360"/>
      </w:pPr>
      <w:r>
        <w:t>c.</w:t>
      </w:r>
      <w:r>
        <w:tab/>
        <w:t xml:space="preserve">Plot RELSCHOL (Y) by INCOME as a scatterplot.  The INCOME variable is </w:t>
      </w:r>
      <w:proofErr w:type="gramStart"/>
      <w:r>
        <w:t>actually an</w:t>
      </w:r>
      <w:proofErr w:type="gramEnd"/>
      <w:r>
        <w:t xml:space="preserve"> ordinal variable that is associated with income brackets.  This is an old dataset, so for example, INCOME=4 </w:t>
      </w:r>
      <w:r>
        <w:sym w:font="Wingdings" w:char="F0E0"/>
      </w:r>
      <w:r>
        <w:t xml:space="preserve"> $20,000-$29,999.   Is there a value of INCOME that seems to separate or discriminate between those attending religious schools and those that don’t?   Create a variable that dichotomizes INCOME based on this value you observed.  Call this new variable D_INCOME.  Cross-tabulate RELSCHOL with D_INCOME.  What are the probabilities that </w:t>
      </w:r>
      <w:proofErr w:type="gramStart"/>
      <w:r>
        <w:t>low income</w:t>
      </w:r>
      <w:proofErr w:type="gramEnd"/>
      <w:r>
        <w:t xml:space="preserve"> students and higher students attend religious schools?  What are the odds that lower income students and higher income students attend religious schools?  What is the odds ratio that compares lower and higher income students?  </w:t>
      </w:r>
    </w:p>
    <w:p w14:paraId="656107E9" w14:textId="77777777" w:rsidR="00855008" w:rsidRDefault="00855008" w:rsidP="00855008">
      <w:pPr>
        <w:ind w:left="720" w:hanging="360"/>
      </w:pPr>
      <w:r>
        <w:t>d.</w:t>
      </w:r>
      <w:r>
        <w:tab/>
        <w:t>Plot RELSCHOL (Y) by ATTEND as a scatterplot.  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400427E1" w14:textId="77777777" w:rsidR="00855008" w:rsidRPr="00855008" w:rsidRDefault="00855008" w:rsidP="00855008"/>
    <w:p w14:paraId="43F42241" w14:textId="41A7C69B" w:rsidR="004C6B76" w:rsidRDefault="004C6B76" w:rsidP="00C021CA">
      <w:pPr>
        <w:pStyle w:val="Heading3"/>
      </w:pPr>
      <w:r>
        <w:t>Research</w:t>
      </w:r>
    </w:p>
    <w:p w14:paraId="74849F02" w14:textId="6559171E" w:rsidR="004C6B76" w:rsidRDefault="004C6B76" w:rsidP="00C021CA">
      <w:pPr>
        <w:pStyle w:val="Heading3"/>
      </w:pPr>
      <w:r>
        <w:t>Conclusion</w:t>
      </w:r>
    </w:p>
    <w:sectPr w:rsidR="004C6B76" w:rsidSect="00382EEC">
      <w:footerReference w:type="default" r:id="rId14"/>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4BAAF" w14:textId="77777777" w:rsidR="00B961E9" w:rsidRDefault="00B961E9">
      <w:pPr>
        <w:spacing w:after="0" w:line="240" w:lineRule="auto"/>
      </w:pPr>
      <w:r>
        <w:separator/>
      </w:r>
    </w:p>
  </w:endnote>
  <w:endnote w:type="continuationSeparator" w:id="0">
    <w:p w14:paraId="18FD871F" w14:textId="77777777" w:rsidR="00B961E9" w:rsidRDefault="00B9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98132" w14:textId="77777777" w:rsidR="00B961E9" w:rsidRDefault="00B961E9">
      <w:pPr>
        <w:spacing w:after="0" w:line="240" w:lineRule="auto"/>
      </w:pPr>
      <w:r>
        <w:separator/>
      </w:r>
    </w:p>
  </w:footnote>
  <w:footnote w:type="continuationSeparator" w:id="0">
    <w:p w14:paraId="3E77D780" w14:textId="77777777" w:rsidR="00B961E9" w:rsidRDefault="00B96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2018"/>
    <w:rsid w:val="00044BE4"/>
    <w:rsid w:val="000B697B"/>
    <w:rsid w:val="000D3979"/>
    <w:rsid w:val="000E57CE"/>
    <w:rsid w:val="00103765"/>
    <w:rsid w:val="00122AB0"/>
    <w:rsid w:val="001414EF"/>
    <w:rsid w:val="0015520D"/>
    <w:rsid w:val="00194DF6"/>
    <w:rsid w:val="001A562B"/>
    <w:rsid w:val="001B1B33"/>
    <w:rsid w:val="00215A06"/>
    <w:rsid w:val="00235032"/>
    <w:rsid w:val="00270579"/>
    <w:rsid w:val="002C646A"/>
    <w:rsid w:val="002C7258"/>
    <w:rsid w:val="002D4FAC"/>
    <w:rsid w:val="002E6001"/>
    <w:rsid w:val="003415E7"/>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51956"/>
    <w:rsid w:val="00567BEB"/>
    <w:rsid w:val="005C0FF0"/>
    <w:rsid w:val="005C12A5"/>
    <w:rsid w:val="005C2F33"/>
    <w:rsid w:val="006410B6"/>
    <w:rsid w:val="0069012E"/>
    <w:rsid w:val="00692A68"/>
    <w:rsid w:val="00713F13"/>
    <w:rsid w:val="00731268"/>
    <w:rsid w:val="0075072D"/>
    <w:rsid w:val="0078479D"/>
    <w:rsid w:val="00795A5A"/>
    <w:rsid w:val="00797E99"/>
    <w:rsid w:val="007A05C9"/>
    <w:rsid w:val="007C1A8B"/>
    <w:rsid w:val="00800777"/>
    <w:rsid w:val="00855008"/>
    <w:rsid w:val="00862F11"/>
    <w:rsid w:val="0088418F"/>
    <w:rsid w:val="008842D3"/>
    <w:rsid w:val="00890D4D"/>
    <w:rsid w:val="008F6B0B"/>
    <w:rsid w:val="00912D7C"/>
    <w:rsid w:val="00935825"/>
    <w:rsid w:val="00942A6C"/>
    <w:rsid w:val="009457BE"/>
    <w:rsid w:val="00957257"/>
    <w:rsid w:val="00972564"/>
    <w:rsid w:val="009C0109"/>
    <w:rsid w:val="009C09A0"/>
    <w:rsid w:val="00A1310C"/>
    <w:rsid w:val="00A13A36"/>
    <w:rsid w:val="00A15B90"/>
    <w:rsid w:val="00A64317"/>
    <w:rsid w:val="00A6780C"/>
    <w:rsid w:val="00A70720"/>
    <w:rsid w:val="00A71D85"/>
    <w:rsid w:val="00A84AC8"/>
    <w:rsid w:val="00B138DE"/>
    <w:rsid w:val="00B17C49"/>
    <w:rsid w:val="00B30BE8"/>
    <w:rsid w:val="00B419AC"/>
    <w:rsid w:val="00B43799"/>
    <w:rsid w:val="00B534E0"/>
    <w:rsid w:val="00B920FA"/>
    <w:rsid w:val="00B961E9"/>
    <w:rsid w:val="00BC33EA"/>
    <w:rsid w:val="00C021CA"/>
    <w:rsid w:val="00C0780C"/>
    <w:rsid w:val="00C359F2"/>
    <w:rsid w:val="00CB37DF"/>
    <w:rsid w:val="00CB62AB"/>
    <w:rsid w:val="00CC1399"/>
    <w:rsid w:val="00CC3E85"/>
    <w:rsid w:val="00CF3B0A"/>
    <w:rsid w:val="00D007F0"/>
    <w:rsid w:val="00D354DB"/>
    <w:rsid w:val="00D40BC3"/>
    <w:rsid w:val="00D43205"/>
    <w:rsid w:val="00D47A97"/>
    <w:rsid w:val="00DC0035"/>
    <w:rsid w:val="00E04D39"/>
    <w:rsid w:val="00E0751C"/>
    <w:rsid w:val="00E11FFC"/>
    <w:rsid w:val="00E34633"/>
    <w:rsid w:val="00E411AA"/>
    <w:rsid w:val="00E631E5"/>
    <w:rsid w:val="00E64D1C"/>
    <w:rsid w:val="00E9030D"/>
    <w:rsid w:val="00EC07D3"/>
    <w:rsid w:val="00F26525"/>
    <w:rsid w:val="00F4766B"/>
    <w:rsid w:val="00F57462"/>
    <w:rsid w:val="00F66087"/>
    <w:rsid w:val="00F77803"/>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2BD8C2F1-77DB-4EDF-A0F6-4C778907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4915</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71</cp:revision>
  <dcterms:created xsi:type="dcterms:W3CDTF">2018-10-06T17:09:00Z</dcterms:created>
  <dcterms:modified xsi:type="dcterms:W3CDTF">2019-08-13T17:55:00Z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