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2EECD641" w:rsidR="004E1AED" w:rsidRDefault="0032786C" w:rsidP="00E631E5">
      <w:pPr>
        <w:pStyle w:val="Title"/>
        <w:spacing w:line="240" w:lineRule="auto"/>
        <w:rPr>
          <w:sz w:val="24"/>
          <w:szCs w:val="24"/>
        </w:rPr>
      </w:pPr>
      <w:r>
        <w:rPr>
          <w:sz w:val="24"/>
          <w:szCs w:val="24"/>
        </w:rPr>
        <w:t xml:space="preserve">Modeling </w:t>
      </w:r>
      <w:r w:rsidR="00E631E5" w:rsidRPr="00E631E5">
        <w:rPr>
          <w:sz w:val="24"/>
          <w:szCs w:val="24"/>
        </w:rPr>
        <w:t xml:space="preserve">Assigment </w:t>
      </w:r>
      <w:r w:rsidR="00E631E5">
        <w:rPr>
          <w:sz w:val="24"/>
          <w:szCs w:val="24"/>
        </w:rPr>
        <w:t>#</w:t>
      </w:r>
      <w:r>
        <w:rPr>
          <w:sz w:val="24"/>
          <w:szCs w:val="24"/>
        </w:rPr>
        <w:t>4</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368FD2EA" w:rsidR="00194DF6" w:rsidRDefault="00E631E5" w:rsidP="00C021CA">
      <w:pPr>
        <w:pStyle w:val="Heading3"/>
      </w:pPr>
      <w:r>
        <w:t>Introduction</w:t>
      </w:r>
    </w:p>
    <w:p w14:paraId="469B2C9B" w14:textId="49C34F30" w:rsidR="0032544B" w:rsidRDefault="00AA0F03" w:rsidP="00A86774">
      <w:pPr>
        <w:spacing w:line="480" w:lineRule="auto"/>
      </w:pPr>
      <w:r>
        <w:t>In this lab we are going the explore a data set consisting of various attributes of approximately twelve thousand c</w:t>
      </w:r>
      <w:r w:rsidR="00A86774">
        <w:t>ommercially available wines in order to predict if they will be sold, if so, how many cases will be sold, and the number of stars an expert would give this wine using a Vivino style rating system.</w:t>
      </w:r>
      <w:r w:rsidR="00584428">
        <w:t xml:space="preserve"> The ultimate purpose of this data analysis and resulting model is to provide a large wine distributor client our recommendations on what kind of wines will be ordered and in what amounts so that we can be operationally prepared to manage the supply chain and resulting required logistics. </w:t>
      </w:r>
      <w:r w:rsidR="00AB5655">
        <w:t>Additionally, we will attempt to quantity what makes a wine ‘good’ based upon its chemical composition and characteristics.</w:t>
      </w:r>
    </w:p>
    <w:p w14:paraId="64C1CF35" w14:textId="153BC1A0" w:rsidR="004421DE" w:rsidRDefault="004421DE" w:rsidP="00A86774">
      <w:pPr>
        <w:spacing w:line="480" w:lineRule="auto"/>
      </w:pPr>
      <w:r>
        <w:t xml:space="preserve">We will start with some preliminary exploratory data analysis to look for distribution characteristics of the independent variables and their statistical properties. From there, we will divide the data set into different sets based upon the type of statistical model we will ultimately be producing and the various response variables we are interested in. </w:t>
      </w:r>
      <w:r w:rsidR="001C4D61">
        <w:t>There are three response variables we will attempt to explain throughout this lab: purchased, cases sold, and stars (rating), which are although somewhat related variables, they require different statistical procedures to model correctly.</w:t>
      </w:r>
      <w:bookmarkStart w:id="0" w:name="_GoBack"/>
      <w:bookmarkEnd w:id="0"/>
    </w:p>
    <w:p w14:paraId="75E3EC7B" w14:textId="77777777" w:rsidR="0032544B" w:rsidRDefault="0032544B">
      <w:r>
        <w:br w:type="page"/>
      </w:r>
    </w:p>
    <w:p w14:paraId="42BABE9F" w14:textId="27132D81" w:rsidR="00C87CAD" w:rsidRDefault="00C87CAD" w:rsidP="00C87CAD">
      <w:pPr>
        <w:pStyle w:val="Heading3"/>
      </w:pPr>
      <w:r>
        <w:lastRenderedPageBreak/>
        <w:t>Exploratory data analysis</w:t>
      </w:r>
    </w:p>
    <w:p w14:paraId="0EDBF3DB" w14:textId="1F54CFF4" w:rsidR="001D2826" w:rsidRDefault="0032544B" w:rsidP="00A86774">
      <w:pPr>
        <w:spacing w:line="480" w:lineRule="auto"/>
      </w:pPr>
      <w:r>
        <w:t xml:space="preserve">The first step in this analysis project is to take a clean sweep to the data and look for any bad encodings or invalid values. </w:t>
      </w:r>
      <w:r w:rsidR="003E33D6">
        <w:t>Inspection of the continuous variables leads to some interesting questions on exactly what scales of representation these measurements are in. For example, the Alcohol variable appears to be in a measurement of percent volume, as we see the values lie in the range of what we would expect the alcohol content to be by volume (ABV).</w:t>
      </w:r>
    </w:p>
    <w:p w14:paraId="04407ED6" w14:textId="16BF4C0E" w:rsidR="003E33D6" w:rsidRDefault="003E33D6" w:rsidP="003E33D6">
      <w:pPr>
        <w:spacing w:line="480" w:lineRule="auto"/>
        <w:jc w:val="center"/>
      </w:pPr>
      <w:r>
        <w:rPr>
          <w:noProof/>
        </w:rPr>
        <w:drawing>
          <wp:inline distT="0" distB="0" distL="0" distR="0" wp14:anchorId="5C39822F" wp14:editId="1FA3CDD1">
            <wp:extent cx="4162425" cy="403485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4317" cy="4065769"/>
                    </a:xfrm>
                    <a:prstGeom prst="rect">
                      <a:avLst/>
                    </a:prstGeom>
                  </pic:spPr>
                </pic:pic>
              </a:graphicData>
            </a:graphic>
          </wp:inline>
        </w:drawing>
      </w:r>
    </w:p>
    <w:p w14:paraId="43D56CC2" w14:textId="11F94992" w:rsidR="003E33D6" w:rsidRDefault="003E33D6" w:rsidP="003E33D6">
      <w:pPr>
        <w:spacing w:line="480" w:lineRule="auto"/>
      </w:pPr>
      <w:r>
        <w:t>Given this measurement, we are going to remove the 771 bottles with missing or negative values.</w:t>
      </w:r>
    </w:p>
    <w:p w14:paraId="23883205" w14:textId="66139346" w:rsidR="00B950A2" w:rsidRDefault="00B950A2" w:rsidP="003E33D6">
      <w:pPr>
        <w:spacing w:line="480" w:lineRule="auto"/>
      </w:pPr>
      <w:r>
        <w:t>Other continuous variables in this data set appear to be on a normalized scale (approximately -4, 4), given that they are measurements of the contents of various chemicals and the distributions are centered near zero with equal parts above and below the mean  (in the positive and negative direction). The Citric Acid</w:t>
      </w:r>
      <w:r w:rsidR="00E2483E">
        <w:t>, Sulphates</w:t>
      </w:r>
      <w:r w:rsidR="00541446">
        <w:t xml:space="preserve"> and Volatile Acidity</w:t>
      </w:r>
      <w:r>
        <w:t xml:space="preserve"> variable</w:t>
      </w:r>
      <w:r w:rsidR="00541446">
        <w:t>s</w:t>
      </w:r>
      <w:r>
        <w:t xml:space="preserve"> for example has this quality when we look at it closely</w:t>
      </w:r>
      <w:r w:rsidR="00E2483E">
        <w:t xml:space="preserve">. This is the only </w:t>
      </w:r>
      <w:r w:rsidR="00D1647B">
        <w:t xml:space="preserve">logical </w:t>
      </w:r>
      <w:r w:rsidR="00E2483E">
        <w:t xml:space="preserve">explanation </w:t>
      </w:r>
      <w:r w:rsidR="00D1647B">
        <w:t xml:space="preserve">I can see </w:t>
      </w:r>
      <w:r w:rsidR="00E2483E">
        <w:t>for over half of the values being in the negative range for so many variables that represent measurements of a quantity.</w:t>
      </w:r>
    </w:p>
    <w:p w14:paraId="2EEEA466" w14:textId="65C65E25" w:rsidR="00B950A2" w:rsidRDefault="00B950A2" w:rsidP="00B950A2">
      <w:pPr>
        <w:spacing w:line="480" w:lineRule="auto"/>
        <w:jc w:val="center"/>
      </w:pPr>
      <w:r>
        <w:rPr>
          <w:noProof/>
        </w:rPr>
        <w:lastRenderedPageBreak/>
        <w:drawing>
          <wp:inline distT="0" distB="0" distL="0" distR="0" wp14:anchorId="1A755849" wp14:editId="7BD38C25">
            <wp:extent cx="3733800" cy="361936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5666" cy="3630869"/>
                    </a:xfrm>
                    <a:prstGeom prst="rect">
                      <a:avLst/>
                    </a:prstGeom>
                  </pic:spPr>
                </pic:pic>
              </a:graphicData>
            </a:graphic>
          </wp:inline>
        </w:drawing>
      </w:r>
    </w:p>
    <w:p w14:paraId="061695D9" w14:textId="4C7A7AB1" w:rsidR="00541446" w:rsidRDefault="00541446" w:rsidP="00541446">
      <w:pPr>
        <w:spacing w:line="480" w:lineRule="auto"/>
      </w:pPr>
      <w:r>
        <w:t>Some of the other variables have similar properties (Free-Sulfur Dioxide, Chlorides and Residual Sugar)</w:t>
      </w:r>
      <w:r w:rsidR="00BD25C2">
        <w:t>,</w:t>
      </w:r>
      <w:r>
        <w:t xml:space="preserve"> however</w:t>
      </w:r>
      <w:r w:rsidR="00BD25C2">
        <w:t>,</w:t>
      </w:r>
      <w:r>
        <w:t xml:space="preserve"> they appear to be on slightly different scales. We will standardize these variables and append them to our data set; this process won’t change the actual properties of the values underlying distribution, it will simply help later with </w:t>
      </w:r>
      <w:r w:rsidR="00443F8D">
        <w:t xml:space="preserve">coefficient </w:t>
      </w:r>
      <w:r>
        <w:t xml:space="preserve">interpretations </w:t>
      </w:r>
      <w:r w:rsidR="00443F8D">
        <w:t xml:space="preserve">related to the chemical properties </w:t>
      </w:r>
      <w:r w:rsidR="0088470F">
        <w:t xml:space="preserve">by </w:t>
      </w:r>
      <w:r>
        <w:t>having all the variables on a similar scale</w:t>
      </w:r>
      <w:r w:rsidR="00E276D9">
        <w:t xml:space="preserve"> and value range</w:t>
      </w:r>
      <w:r>
        <w:t>.</w:t>
      </w:r>
    </w:p>
    <w:p w14:paraId="2133AA9D" w14:textId="3091F75C" w:rsidR="00BD25C2" w:rsidRDefault="00BD25C2" w:rsidP="00BD25C2">
      <w:pPr>
        <w:spacing w:line="480" w:lineRule="auto"/>
        <w:jc w:val="center"/>
      </w:pPr>
      <w:r>
        <w:rPr>
          <w:noProof/>
        </w:rPr>
        <w:drawing>
          <wp:inline distT="0" distB="0" distL="0" distR="0" wp14:anchorId="6ACB4A07" wp14:editId="3736D399">
            <wp:extent cx="3400425" cy="32962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3410" cy="3328181"/>
                    </a:xfrm>
                    <a:prstGeom prst="rect">
                      <a:avLst/>
                    </a:prstGeom>
                  </pic:spPr>
                </pic:pic>
              </a:graphicData>
            </a:graphic>
          </wp:inline>
        </w:drawing>
      </w:r>
    </w:p>
    <w:p w14:paraId="063BE487" w14:textId="37619273" w:rsidR="00C87CAD" w:rsidRDefault="00172235" w:rsidP="00A86774">
      <w:pPr>
        <w:spacing w:line="480" w:lineRule="auto"/>
      </w:pPr>
      <w:r>
        <w:lastRenderedPageBreak/>
        <w:t>The label appeal variable has the scale -2 to 2, which we will adjust by +3 so that it is on a</w:t>
      </w:r>
      <w:r w:rsidR="005359C4">
        <w:t xml:space="preserve"> standard</w:t>
      </w:r>
      <w:r>
        <w:t xml:space="preserve"> 1-5 scale.</w:t>
      </w:r>
      <w:r w:rsidR="00416C64">
        <w:t xml:space="preserve"> We will also</w:t>
      </w:r>
      <w:r w:rsidR="00A12787">
        <w:t xml:space="preserve"> create a simpler metric in terms of quality based on the STARS variable, which is a binary ‘good’ or ‘bad’, which is ‘good’ if the STARS rating is greater than or equal to 3. This will help uncover basic relationships by condencing the rating scale, then once we find some basic patterns, we can explore them in-depth with the more complete rating variable.</w:t>
      </w:r>
    </w:p>
    <w:p w14:paraId="3DAC2245" w14:textId="361FAF43" w:rsidR="00A12787" w:rsidRDefault="00462B19" w:rsidP="00A86774">
      <w:pPr>
        <w:spacing w:line="480" w:lineRule="auto"/>
      </w:pPr>
      <w:r>
        <w:t xml:space="preserve">Before we dive into some more detailed bivariate EDA analysis, we will look for some correlations amongst the dataset which will hopefully </w:t>
      </w:r>
      <w:r w:rsidR="007E6738">
        <w:t>expand</w:t>
      </w:r>
      <w:r>
        <w:t xml:space="preserve"> our analysis by raising some additional questions.</w:t>
      </w:r>
      <w:r w:rsidR="007E6738">
        <w:t xml:space="preserve"> First, we will look to see if there are any correlations to the STARS rating variable.</w:t>
      </w:r>
      <w:r w:rsidR="00486624">
        <w:t xml:space="preserve"> The most obvious correlation</w:t>
      </w:r>
      <w:r w:rsidR="00BE16EE">
        <w:t xml:space="preserve"> to the STARS variable, at 29%, is the purchase variable, which we would intuitively expect given that the higher the quality, the more it sells. A bit more surprisingly however is the relatively strong correlation to the label appeal, at 33%, which indicates that the better the presentation the higher the rating. We will explore this in more depth later.</w:t>
      </w:r>
      <w:r w:rsidR="00A91408">
        <w:t xml:space="preserve"> </w:t>
      </w:r>
      <w:r w:rsidR="009E31C6">
        <w:t>T</w:t>
      </w:r>
      <w:r w:rsidR="00A91408">
        <w:t xml:space="preserve">he correlation to STARS </w:t>
      </w:r>
      <w:r w:rsidR="009E31C6">
        <w:t xml:space="preserve">table </w:t>
      </w:r>
      <w:r w:rsidR="00A91408">
        <w:t xml:space="preserve">can be found in the </w:t>
      </w:r>
      <w:hyperlink w:anchor="_APPENDIX" w:history="1">
        <w:r w:rsidR="00A91408" w:rsidRPr="00A91408">
          <w:rPr>
            <w:rStyle w:val="Hyperlink"/>
          </w:rPr>
          <w:t>appendix</w:t>
        </w:r>
      </w:hyperlink>
      <w:r w:rsidR="004F7BF3">
        <w:t>, and a visual breakdown can be seen in the following chart:</w:t>
      </w:r>
    </w:p>
    <w:p w14:paraId="4239FDD2" w14:textId="2532DC81" w:rsidR="004F7BF3" w:rsidRDefault="000F226D" w:rsidP="004F7BF3">
      <w:pPr>
        <w:spacing w:line="480" w:lineRule="auto"/>
        <w:jc w:val="center"/>
      </w:pPr>
      <w:r>
        <w:rPr>
          <w:noProof/>
        </w:rPr>
        <w:drawing>
          <wp:inline distT="0" distB="0" distL="0" distR="0" wp14:anchorId="2B420606" wp14:editId="0D328125">
            <wp:extent cx="5097804" cy="473293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3709" cy="4747701"/>
                    </a:xfrm>
                    <a:prstGeom prst="rect">
                      <a:avLst/>
                    </a:prstGeom>
                  </pic:spPr>
                </pic:pic>
              </a:graphicData>
            </a:graphic>
          </wp:inline>
        </w:drawing>
      </w:r>
    </w:p>
    <w:p w14:paraId="53C647F3" w14:textId="4D08117C" w:rsidR="004F7BF3" w:rsidRDefault="004F7BF3" w:rsidP="00A86774">
      <w:pPr>
        <w:spacing w:line="480" w:lineRule="auto"/>
      </w:pPr>
    </w:p>
    <w:p w14:paraId="6DA4261E" w14:textId="213440F0" w:rsidR="00BE16EE" w:rsidRDefault="004F7BF3" w:rsidP="00A86774">
      <w:pPr>
        <w:spacing w:line="480" w:lineRule="auto"/>
      </w:pPr>
      <w:r>
        <w:t>Next,</w:t>
      </w:r>
      <w:r w:rsidR="00CB45BA">
        <w:t xml:space="preserve"> we will look for relationships between the high-level quality variable we defined to look for any chemical relationships that may help determine what makes for a ‘good’ wine. In the following diagram, we can see </w:t>
      </w:r>
      <w:r>
        <w:t>a detailed breakout for each chemical property and the quality variable:</w:t>
      </w:r>
    </w:p>
    <w:p w14:paraId="3DA1E49B" w14:textId="2822DAD2" w:rsidR="004F7BF3" w:rsidRDefault="004F7BF3" w:rsidP="004F7BF3">
      <w:pPr>
        <w:spacing w:line="480" w:lineRule="auto"/>
        <w:jc w:val="center"/>
      </w:pPr>
      <w:r>
        <w:rPr>
          <w:noProof/>
        </w:rPr>
        <w:drawing>
          <wp:inline distT="0" distB="0" distL="0" distR="0" wp14:anchorId="132C32BA" wp14:editId="3E88FB70">
            <wp:extent cx="4778492" cy="7344461"/>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6350" cy="7371909"/>
                    </a:xfrm>
                    <a:prstGeom prst="rect">
                      <a:avLst/>
                    </a:prstGeom>
                  </pic:spPr>
                </pic:pic>
              </a:graphicData>
            </a:graphic>
          </wp:inline>
        </w:drawing>
      </w:r>
    </w:p>
    <w:p w14:paraId="5C3169AD" w14:textId="66590066" w:rsidR="000F226D" w:rsidRDefault="00764533" w:rsidP="000F226D">
      <w:pPr>
        <w:spacing w:line="480" w:lineRule="auto"/>
      </w:pPr>
      <w:r>
        <w:lastRenderedPageBreak/>
        <w:t>Interestingly, the acid index property seems to have a negative effect on wine quality</w:t>
      </w:r>
      <w:r w:rsidR="00EB685A">
        <w:t xml:space="preserve"> as the acidity increases. We can see an overlay of ‘good’ and ‘bad’ wines by acid index in the following diagram:</w:t>
      </w:r>
    </w:p>
    <w:p w14:paraId="0BE1C626" w14:textId="0371C2DB" w:rsidR="00126A1B" w:rsidRDefault="00EB685A" w:rsidP="00126A1B">
      <w:pPr>
        <w:spacing w:line="480" w:lineRule="auto"/>
        <w:jc w:val="center"/>
      </w:pPr>
      <w:r>
        <w:rPr>
          <w:noProof/>
        </w:rPr>
        <w:drawing>
          <wp:inline distT="0" distB="0" distL="0" distR="0" wp14:anchorId="3CCE5E4C" wp14:editId="69CFAFCC">
            <wp:extent cx="2077517" cy="319310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93042" cy="3216967"/>
                    </a:xfrm>
                    <a:prstGeom prst="rect">
                      <a:avLst/>
                    </a:prstGeom>
                  </pic:spPr>
                </pic:pic>
              </a:graphicData>
            </a:graphic>
          </wp:inline>
        </w:drawing>
      </w:r>
    </w:p>
    <w:p w14:paraId="63ECE50D" w14:textId="77777777" w:rsidR="00126A1B" w:rsidRDefault="00126A1B" w:rsidP="00126A1B">
      <w:pPr>
        <w:spacing w:line="480" w:lineRule="auto"/>
      </w:pPr>
      <w:r>
        <w:t>There also seems to be a lower concentration of volatile acidity in higher rated wines, as we can see in the following diagram:</w:t>
      </w:r>
    </w:p>
    <w:p w14:paraId="6A1AD1FA" w14:textId="409309D4" w:rsidR="00BF728F" w:rsidRDefault="00126A1B" w:rsidP="00126A1B">
      <w:pPr>
        <w:spacing w:line="480" w:lineRule="auto"/>
        <w:jc w:val="center"/>
        <w:rPr>
          <w:noProof/>
        </w:rPr>
      </w:pPr>
      <w:r>
        <w:rPr>
          <w:noProof/>
        </w:rPr>
        <w:drawing>
          <wp:inline distT="0" distB="0" distL="0" distR="0" wp14:anchorId="7A27CD7B" wp14:editId="5EF972F8">
            <wp:extent cx="2487168" cy="3822738"/>
            <wp:effectExtent l="0" t="0" r="889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8471" cy="3855481"/>
                    </a:xfrm>
                    <a:prstGeom prst="rect">
                      <a:avLst/>
                    </a:prstGeom>
                  </pic:spPr>
                </pic:pic>
              </a:graphicData>
            </a:graphic>
          </wp:inline>
        </w:drawing>
      </w:r>
    </w:p>
    <w:p w14:paraId="62E72483" w14:textId="6CD62A68" w:rsidR="00126A1B" w:rsidRDefault="002B0062" w:rsidP="00016FC1">
      <w:pPr>
        <w:spacing w:line="480" w:lineRule="auto"/>
      </w:pPr>
      <w:r>
        <w:lastRenderedPageBreak/>
        <w:t>Additionally, there seems to be slightly lower</w:t>
      </w:r>
      <w:r w:rsidR="00377975">
        <w:t xml:space="preserve"> levels of sulfur dioxide in higher rated wines:</w:t>
      </w:r>
    </w:p>
    <w:p w14:paraId="6F25CCD1" w14:textId="1D470943" w:rsidR="00377975" w:rsidRDefault="00377975" w:rsidP="00377975">
      <w:pPr>
        <w:spacing w:line="480" w:lineRule="auto"/>
        <w:jc w:val="center"/>
      </w:pPr>
      <w:r>
        <w:rPr>
          <w:noProof/>
        </w:rPr>
        <w:drawing>
          <wp:inline distT="0" distB="0" distL="0" distR="0" wp14:anchorId="4E1442C5" wp14:editId="2F16EB20">
            <wp:extent cx="3717132" cy="5713171"/>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2717" cy="5721755"/>
                    </a:xfrm>
                    <a:prstGeom prst="rect">
                      <a:avLst/>
                    </a:prstGeom>
                  </pic:spPr>
                </pic:pic>
              </a:graphicData>
            </a:graphic>
          </wp:inline>
        </w:drawing>
      </w:r>
    </w:p>
    <w:p w14:paraId="493B12A0" w14:textId="371BFF1A" w:rsidR="00377975" w:rsidRDefault="00377975" w:rsidP="00377975">
      <w:pPr>
        <w:spacing w:line="480" w:lineRule="auto"/>
      </w:pPr>
      <w:r>
        <w:t>The rest of the chemical composition properties seem to be relatively equally distributed across the various rating groups and there is little visual evidence to suggest there are meaningful differences. However, we will explore these relationships further in the modeling and research section with additional statistical methods.</w:t>
      </w:r>
    </w:p>
    <w:p w14:paraId="43F42241" w14:textId="558F1BB5" w:rsidR="004C6B76" w:rsidRDefault="004C6B76" w:rsidP="00C021CA">
      <w:pPr>
        <w:pStyle w:val="Heading3"/>
      </w:pPr>
      <w:r>
        <w:t>Research</w:t>
      </w:r>
    </w:p>
    <w:p w14:paraId="14AA3214" w14:textId="77777777" w:rsidR="006F69E1" w:rsidRPr="006F69E1" w:rsidRDefault="006F69E1" w:rsidP="006F69E1"/>
    <w:p w14:paraId="74849F02" w14:textId="3DE44AFB" w:rsidR="004C6B76" w:rsidRDefault="004C6B76" w:rsidP="00C021CA">
      <w:pPr>
        <w:pStyle w:val="Heading3"/>
      </w:pPr>
      <w:r>
        <w:t>Conclusion</w:t>
      </w:r>
    </w:p>
    <w:p w14:paraId="7A1D5BA4" w14:textId="7702944E" w:rsidR="007E6738" w:rsidRDefault="007E6738">
      <w:r>
        <w:br w:type="page"/>
      </w:r>
    </w:p>
    <w:p w14:paraId="3916E1E1" w14:textId="4CBFDA46" w:rsidR="006F69E1" w:rsidRDefault="006F69E1" w:rsidP="006F69E1">
      <w:pPr>
        <w:pStyle w:val="Heading3"/>
      </w:pPr>
      <w:bookmarkStart w:id="1" w:name="_APPENDIX"/>
      <w:bookmarkStart w:id="2" w:name="Appendix"/>
      <w:bookmarkEnd w:id="1"/>
      <w:r>
        <w:lastRenderedPageBreak/>
        <w:t>APPENDIX</w:t>
      </w:r>
    </w:p>
    <w:p w14:paraId="77257D47" w14:textId="2DFE491C" w:rsidR="00FB74E2" w:rsidRPr="00FB74E2" w:rsidRDefault="00FB74E2" w:rsidP="00FB74E2">
      <w:pPr>
        <w:jc w:val="center"/>
      </w:pPr>
      <w:r>
        <w:t>Correlations to STARS</w:t>
      </w:r>
    </w:p>
    <w:bookmarkEnd w:id="2"/>
    <w:p w14:paraId="1852BC84" w14:textId="3D378D85" w:rsidR="006F69E1" w:rsidRPr="006F69E1" w:rsidRDefault="007E6738" w:rsidP="006F69E1">
      <w:pPr>
        <w:jc w:val="center"/>
      </w:pPr>
      <w:r>
        <w:rPr>
          <w:noProof/>
        </w:rPr>
        <w:drawing>
          <wp:inline distT="0" distB="0" distL="0" distR="0" wp14:anchorId="173CFEFC" wp14:editId="032329AD">
            <wp:extent cx="5661964" cy="45295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5992" cy="4532794"/>
                    </a:xfrm>
                    <a:prstGeom prst="rect">
                      <a:avLst/>
                    </a:prstGeom>
                  </pic:spPr>
                </pic:pic>
              </a:graphicData>
            </a:graphic>
          </wp:inline>
        </w:drawing>
      </w:r>
    </w:p>
    <w:sectPr w:rsidR="006F69E1" w:rsidRPr="006F69E1" w:rsidSect="00382EEC">
      <w:footerReference w:type="default" r:id="rId20"/>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4DA36" w14:textId="77777777" w:rsidR="003116FA" w:rsidRDefault="003116FA">
      <w:pPr>
        <w:spacing w:after="0" w:line="240" w:lineRule="auto"/>
      </w:pPr>
      <w:r>
        <w:separator/>
      </w:r>
    </w:p>
  </w:endnote>
  <w:endnote w:type="continuationSeparator" w:id="0">
    <w:p w14:paraId="57074725" w14:textId="77777777" w:rsidR="003116FA" w:rsidRDefault="0031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A74F3" w14:textId="77777777" w:rsidR="003116FA" w:rsidRDefault="003116FA">
      <w:pPr>
        <w:spacing w:after="0" w:line="240" w:lineRule="auto"/>
      </w:pPr>
      <w:r>
        <w:separator/>
      </w:r>
    </w:p>
  </w:footnote>
  <w:footnote w:type="continuationSeparator" w:id="0">
    <w:p w14:paraId="64A51357" w14:textId="77777777" w:rsidR="003116FA" w:rsidRDefault="003116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QUAYLV0DywAAAA="/>
  </w:docVars>
  <w:rsids>
    <w:rsidRoot w:val="00CB62AB"/>
    <w:rsid w:val="00016FC1"/>
    <w:rsid w:val="00044BE4"/>
    <w:rsid w:val="000A1A0C"/>
    <w:rsid w:val="000B697B"/>
    <w:rsid w:val="000D3979"/>
    <w:rsid w:val="000E57CE"/>
    <w:rsid w:val="000F226D"/>
    <w:rsid w:val="00103765"/>
    <w:rsid w:val="00122AB0"/>
    <w:rsid w:val="00126A1B"/>
    <w:rsid w:val="001414EF"/>
    <w:rsid w:val="0015520D"/>
    <w:rsid w:val="00172235"/>
    <w:rsid w:val="00194DF6"/>
    <w:rsid w:val="001A562B"/>
    <w:rsid w:val="001B1B33"/>
    <w:rsid w:val="001C4D61"/>
    <w:rsid w:val="001D2826"/>
    <w:rsid w:val="001E0499"/>
    <w:rsid w:val="00213EAA"/>
    <w:rsid w:val="00215A06"/>
    <w:rsid w:val="00235032"/>
    <w:rsid w:val="00270579"/>
    <w:rsid w:val="002B0062"/>
    <w:rsid w:val="002C646A"/>
    <w:rsid w:val="002C7258"/>
    <w:rsid w:val="002D4FAC"/>
    <w:rsid w:val="003116FA"/>
    <w:rsid w:val="0032544B"/>
    <w:rsid w:val="0032786C"/>
    <w:rsid w:val="00352C5E"/>
    <w:rsid w:val="003655E0"/>
    <w:rsid w:val="00372388"/>
    <w:rsid w:val="00377975"/>
    <w:rsid w:val="00382EEC"/>
    <w:rsid w:val="003A4485"/>
    <w:rsid w:val="003C582D"/>
    <w:rsid w:val="003E33D6"/>
    <w:rsid w:val="00400D5C"/>
    <w:rsid w:val="00416C64"/>
    <w:rsid w:val="004421DE"/>
    <w:rsid w:val="00443F8D"/>
    <w:rsid w:val="00462B19"/>
    <w:rsid w:val="0046642F"/>
    <w:rsid w:val="004742A0"/>
    <w:rsid w:val="00474853"/>
    <w:rsid w:val="00474C14"/>
    <w:rsid w:val="00480B4A"/>
    <w:rsid w:val="00486624"/>
    <w:rsid w:val="00491FE1"/>
    <w:rsid w:val="004A042E"/>
    <w:rsid w:val="004B228D"/>
    <w:rsid w:val="004C6B76"/>
    <w:rsid w:val="004D7DFC"/>
    <w:rsid w:val="004E1AED"/>
    <w:rsid w:val="004E6BE4"/>
    <w:rsid w:val="004F7BF3"/>
    <w:rsid w:val="00500B16"/>
    <w:rsid w:val="005359C4"/>
    <w:rsid w:val="00541446"/>
    <w:rsid w:val="00551956"/>
    <w:rsid w:val="00567BEB"/>
    <w:rsid w:val="00584428"/>
    <w:rsid w:val="005C0FF0"/>
    <w:rsid w:val="005C12A5"/>
    <w:rsid w:val="005C2F33"/>
    <w:rsid w:val="006410B6"/>
    <w:rsid w:val="0069012E"/>
    <w:rsid w:val="00692A68"/>
    <w:rsid w:val="006F69E1"/>
    <w:rsid w:val="00731268"/>
    <w:rsid w:val="0075072D"/>
    <w:rsid w:val="00764533"/>
    <w:rsid w:val="0078479D"/>
    <w:rsid w:val="00795A5A"/>
    <w:rsid w:val="00797E99"/>
    <w:rsid w:val="007E6738"/>
    <w:rsid w:val="00800777"/>
    <w:rsid w:val="0088418F"/>
    <w:rsid w:val="008842D3"/>
    <w:rsid w:val="0088470F"/>
    <w:rsid w:val="00890D4D"/>
    <w:rsid w:val="008F6B0B"/>
    <w:rsid w:val="00912D7C"/>
    <w:rsid w:val="00935825"/>
    <w:rsid w:val="00942A6C"/>
    <w:rsid w:val="009457BE"/>
    <w:rsid w:val="00957257"/>
    <w:rsid w:val="00972564"/>
    <w:rsid w:val="009954E6"/>
    <w:rsid w:val="009C09A0"/>
    <w:rsid w:val="009E31C6"/>
    <w:rsid w:val="00A07876"/>
    <w:rsid w:val="00A12787"/>
    <w:rsid w:val="00A1310C"/>
    <w:rsid w:val="00A13A36"/>
    <w:rsid w:val="00A15B90"/>
    <w:rsid w:val="00A64317"/>
    <w:rsid w:val="00A6780C"/>
    <w:rsid w:val="00A84AC8"/>
    <w:rsid w:val="00A86774"/>
    <w:rsid w:val="00A91408"/>
    <w:rsid w:val="00AA0F03"/>
    <w:rsid w:val="00AB5655"/>
    <w:rsid w:val="00B138DE"/>
    <w:rsid w:val="00B17C49"/>
    <w:rsid w:val="00B30BE8"/>
    <w:rsid w:val="00B419AC"/>
    <w:rsid w:val="00B534E0"/>
    <w:rsid w:val="00B920FA"/>
    <w:rsid w:val="00B950A2"/>
    <w:rsid w:val="00BC33EA"/>
    <w:rsid w:val="00BD25C2"/>
    <w:rsid w:val="00BE16EE"/>
    <w:rsid w:val="00BF728F"/>
    <w:rsid w:val="00C021CA"/>
    <w:rsid w:val="00C359F2"/>
    <w:rsid w:val="00C87CAD"/>
    <w:rsid w:val="00CB37DF"/>
    <w:rsid w:val="00CB45BA"/>
    <w:rsid w:val="00CB62AB"/>
    <w:rsid w:val="00CC1399"/>
    <w:rsid w:val="00CC3E85"/>
    <w:rsid w:val="00CF3B0A"/>
    <w:rsid w:val="00D007F0"/>
    <w:rsid w:val="00D1647B"/>
    <w:rsid w:val="00D354DB"/>
    <w:rsid w:val="00D40BC3"/>
    <w:rsid w:val="00D43205"/>
    <w:rsid w:val="00D47A97"/>
    <w:rsid w:val="00DC0035"/>
    <w:rsid w:val="00E04D39"/>
    <w:rsid w:val="00E0751C"/>
    <w:rsid w:val="00E11FFC"/>
    <w:rsid w:val="00E2483E"/>
    <w:rsid w:val="00E276D9"/>
    <w:rsid w:val="00E34633"/>
    <w:rsid w:val="00E411AA"/>
    <w:rsid w:val="00E5424B"/>
    <w:rsid w:val="00E631E5"/>
    <w:rsid w:val="00E64D1C"/>
    <w:rsid w:val="00E9030D"/>
    <w:rsid w:val="00EB685A"/>
    <w:rsid w:val="00EC07D3"/>
    <w:rsid w:val="00F26525"/>
    <w:rsid w:val="00F57462"/>
    <w:rsid w:val="00F66087"/>
    <w:rsid w:val="00F77803"/>
    <w:rsid w:val="00FB74E2"/>
    <w:rsid w:val="00FD102F"/>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2DA0B1-98E7-4968-A772-0012D6921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3938</TotalTime>
  <Pages>8</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92</cp:revision>
  <dcterms:created xsi:type="dcterms:W3CDTF">2018-10-06T17:09:00Z</dcterms:created>
  <dcterms:modified xsi:type="dcterms:W3CDTF">2019-08-28T18:14:00Z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