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r w:rsidRPr="00C27F99">
        <w:rPr>
          <w:i/>
          <w:iCs/>
        </w:rPr>
        <w:t>?</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46E9A383" w:rsidR="00634455" w:rsidRDefault="0070024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0CC32AD0">
            <wp:simplePos x="0" y="0"/>
            <wp:positionH relativeFrom="margin">
              <wp:align>center</wp:align>
            </wp:positionH>
            <wp:positionV relativeFrom="paragraph">
              <wp:posOffset>324844</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rsidR="00634455">
        <w:t xml:space="preserve">Color code this plot by </w:t>
      </w:r>
      <w:r w:rsidR="005108F0">
        <w:t>industry.</w:t>
      </w:r>
      <w:r w:rsidR="00634455">
        <w:t xml:space="preserve"> </w:t>
      </w:r>
    </w:p>
    <w:p w14:paraId="178B09DB" w14:textId="6E156C53" w:rsidR="00634455" w:rsidRDefault="00634455" w:rsidP="00634455">
      <w:pPr>
        <w:pStyle w:val="ListParagraph"/>
        <w:ind w:left="2160"/>
      </w:pPr>
    </w:p>
    <w:p w14:paraId="572A5AE6" w14:textId="3FBF4A6B" w:rsidR="00665189" w:rsidRDefault="00665189" w:rsidP="00665189">
      <w:pPr>
        <w:pStyle w:val="ListParagraph"/>
        <w:numPr>
          <w:ilvl w:val="0"/>
          <w:numId w:val="19"/>
        </w:numPr>
        <w:spacing w:before="0" w:line="276" w:lineRule="auto"/>
      </w:pPr>
      <w:r>
        <w:t xml:space="preserve">In using PCA for dimension reduction, after we compute the principal </w:t>
      </w:r>
      <w:proofErr w:type="gramStart"/>
      <w:r>
        <w:t>components</w:t>
      </w:r>
      <w:proofErr w:type="gramEnd"/>
      <w:r>
        <w:t xml:space="preserve"> we need to decide how many principal components to keep or retain.  How many principal components do you think that we should keep?  Why?  (Hint: What decision rules should we use to determine the number of principal components to keep?)  </w:t>
      </w:r>
    </w:p>
    <w:p w14:paraId="2896CAC8" w14:textId="77777777" w:rsidR="00665189" w:rsidRDefault="00665189" w:rsidP="00665189">
      <w:pPr>
        <w:pStyle w:val="ListParagraph"/>
        <w:spacing w:before="0" w:line="276" w:lineRule="auto"/>
      </w:pPr>
    </w:p>
    <w:p w14:paraId="6DACE791" w14:textId="4D6373F8" w:rsidR="00665189" w:rsidRDefault="00665189" w:rsidP="00665189">
      <w:pPr>
        <w:pStyle w:val="ListParagraph"/>
        <w:numPr>
          <w:ilvl w:val="1"/>
          <w:numId w:val="19"/>
        </w:numPr>
        <w:spacing w:before="0" w:line="276" w:lineRule="auto"/>
      </w:pPr>
      <w:r>
        <w:t xml:space="preserve">There are no hard and fast objective rules to follow when selecting the number of principal components to keep, this greatly depends on our objective. Here our objective is </w:t>
      </w:r>
      <w:proofErr w:type="gramStart"/>
      <w:r>
        <w:t>explain</w:t>
      </w:r>
      <w:proofErr w:type="gramEnd"/>
      <w:r>
        <w:t xml:space="preserve"> the most variance with the fewest possible components. In general, we should keep the minimal number of components that meet the cutoff value for our percentage of explained variance (typically between 80-90%, depending on situation).</w:t>
      </w:r>
    </w:p>
    <w:p w14:paraId="7B64E05C" w14:textId="68001F82" w:rsidR="009645DF" w:rsidRDefault="009645DF" w:rsidP="009645DF">
      <w:pPr>
        <w:pStyle w:val="ListParagraph"/>
        <w:spacing w:before="0" w:line="276" w:lineRule="auto"/>
        <w:ind w:left="1440"/>
      </w:pPr>
    </w:p>
    <w:p w14:paraId="67C5A241" w14:textId="244EDD01" w:rsidR="009645DF" w:rsidRDefault="009645DF" w:rsidP="009645DF">
      <w:pPr>
        <w:pStyle w:val="ListParagraph"/>
        <w:spacing w:before="0" w:line="276" w:lineRule="auto"/>
        <w:ind w:left="1440"/>
      </w:pPr>
      <w:r>
        <w:t>The typical scree plot here is not particularly useful, so we’ll look to the cumulative variance explained plot.</w:t>
      </w:r>
    </w:p>
    <w:p w14:paraId="3B1D7575" w14:textId="44F41BDB" w:rsidR="00665189" w:rsidRDefault="009645DF" w:rsidP="009645DF">
      <w:pPr>
        <w:spacing w:before="0" w:line="276" w:lineRule="auto"/>
      </w:pPr>
      <w:r>
        <w:rPr>
          <w:noProof/>
        </w:rPr>
        <w:drawing>
          <wp:inline distT="0" distB="0" distL="0" distR="0" wp14:anchorId="63DD6C4F" wp14:editId="3F76829F">
            <wp:extent cx="6623436" cy="32755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55" cy="3286028"/>
                    </a:xfrm>
                    <a:prstGeom prst="rect">
                      <a:avLst/>
                    </a:prstGeom>
                  </pic:spPr>
                </pic:pic>
              </a:graphicData>
            </a:graphic>
          </wp:inline>
        </w:drawing>
      </w:r>
    </w:p>
    <w:p w14:paraId="58B21D06" w14:textId="091DA3B3" w:rsidR="009645DF" w:rsidRDefault="009645DF" w:rsidP="00665189">
      <w:pPr>
        <w:pStyle w:val="ListParagraph"/>
        <w:spacing w:before="0" w:line="276" w:lineRule="auto"/>
      </w:pPr>
      <w:r>
        <w:rPr>
          <w:noProof/>
        </w:rPr>
        <w:lastRenderedPageBreak/>
        <w:drawing>
          <wp:anchor distT="0" distB="0" distL="114300" distR="114300" simplePos="0" relativeHeight="251661312" behindDoc="0" locked="0" layoutInCell="1" allowOverlap="1" wp14:anchorId="12C974E1" wp14:editId="0020AB54">
            <wp:simplePos x="0" y="0"/>
            <wp:positionH relativeFrom="margin">
              <wp:align>left</wp:align>
            </wp:positionH>
            <wp:positionV relativeFrom="paragraph">
              <wp:posOffset>608</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p>
    <w:p w14:paraId="0449CA9D" w14:textId="1E9AB91C" w:rsidR="00665189" w:rsidRDefault="009645DF" w:rsidP="00665189">
      <w:pPr>
        <w:pStyle w:val="ListParagraph"/>
        <w:spacing w:before="0" w:line="276" w:lineRule="auto"/>
      </w:pPr>
      <w:r>
        <w:t>Following the rough guidelines for explained  variance, we should keep the first eight components if we want to account for approximately 80% of the total variance explained.</w:t>
      </w:r>
    </w:p>
    <w:p w14:paraId="1BC36FB6" w14:textId="40855686" w:rsidR="009645DF" w:rsidRDefault="009645DF" w:rsidP="00665189">
      <w:pPr>
        <w:pStyle w:val="ListParagraph"/>
        <w:spacing w:before="0" w:line="276" w:lineRule="auto"/>
      </w:pPr>
    </w:p>
    <w:p w14:paraId="08D1D819" w14:textId="77777777" w:rsidR="002A0E90" w:rsidRDefault="009D3285" w:rsidP="002A0E90">
      <w:pPr>
        <w:pStyle w:val="ListParagraph"/>
        <w:numPr>
          <w:ilvl w:val="0"/>
          <w:numId w:val="19"/>
        </w:numPr>
      </w:pPr>
      <w:r>
        <w:t xml:space="preserve">Now let’s use principal components in predictive modeling.  </w:t>
      </w:r>
    </w:p>
    <w:p w14:paraId="428519FA" w14:textId="16279D7F" w:rsidR="00634455" w:rsidRDefault="009D3285" w:rsidP="002A0E90">
      <w:pPr>
        <w:pStyle w:val="ListParagraph"/>
        <w:numPr>
          <w:ilvl w:val="1"/>
          <w:numId w:val="19"/>
        </w:numPr>
      </w:pPr>
      <w:r>
        <w:t>The predictor variables for our predictive model will be the PCA scores.  What are the scores?</w:t>
      </w:r>
    </w:p>
    <w:p w14:paraId="52CCB52F" w14:textId="5FA98D04" w:rsidR="003B7D5C" w:rsidRDefault="003B7D5C" w:rsidP="003B7D5C">
      <w:pPr>
        <w:pStyle w:val="ListParagraph"/>
      </w:pPr>
    </w:p>
    <w:p w14:paraId="1469D928" w14:textId="6544C8F0" w:rsidR="009D3285" w:rsidRDefault="002A0E90" w:rsidP="002A0E90">
      <w:pPr>
        <w:pStyle w:val="ListParagraph"/>
        <w:numPr>
          <w:ilvl w:val="2"/>
          <w:numId w:val="19"/>
        </w:numPr>
      </w:pPr>
      <w:r>
        <w:rPr>
          <w:noProof/>
        </w:rPr>
        <w:drawing>
          <wp:anchor distT="0" distB="0" distL="114300" distR="114300" simplePos="0" relativeHeight="251662336" behindDoc="0" locked="0" layoutInCell="1" allowOverlap="1" wp14:anchorId="03CF3C98" wp14:editId="49A83FAF">
            <wp:simplePos x="0" y="0"/>
            <wp:positionH relativeFrom="margin">
              <wp:posOffset>1419225</wp:posOffset>
            </wp:positionH>
            <wp:positionV relativeFrom="paragraph">
              <wp:posOffset>623570</wp:posOffset>
            </wp:positionV>
            <wp:extent cx="4261485" cy="2106930"/>
            <wp:effectExtent l="0" t="0" r="571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1485" cy="2106930"/>
                    </a:xfrm>
                    <a:prstGeom prst="rect">
                      <a:avLst/>
                    </a:prstGeom>
                  </pic:spPr>
                </pic:pic>
              </a:graphicData>
            </a:graphic>
            <wp14:sizeRelH relativeFrom="margin">
              <wp14:pctWidth>0</wp14:pctWidth>
            </wp14:sizeRelH>
            <wp14:sizeRelV relativeFrom="margin">
              <wp14:pctHeight>0</wp14:pctHeight>
            </wp14:sizeRelV>
          </wp:anchor>
        </w:drawing>
      </w:r>
      <w:r w:rsidR="006E0522">
        <w:t xml:space="preserve">The score for an observation is the distance from the origin </w:t>
      </w:r>
      <w:r>
        <w:t>(as opposed to the direction, which is defined by the loading vector) that is defined for a given component. We can look at the first two component scores for the stock data visually in the graph below.</w:t>
      </w:r>
    </w:p>
    <w:p w14:paraId="647A761B" w14:textId="2E03DD12" w:rsidR="002A0E90" w:rsidRDefault="002A0E90" w:rsidP="002A0E90">
      <w:pPr>
        <w:pStyle w:val="ListParagraph"/>
        <w:ind w:left="1440"/>
      </w:pPr>
    </w:p>
    <w:p w14:paraId="532E6ADB" w14:textId="347CA653" w:rsidR="003B7D5C" w:rsidRDefault="002A0E90" w:rsidP="003B7D5C">
      <w:pPr>
        <w:pStyle w:val="ListParagraph"/>
        <w:numPr>
          <w:ilvl w:val="1"/>
          <w:numId w:val="19"/>
        </w:numPr>
      </w:pPr>
      <w:r>
        <w:t xml:space="preserve">The VIF values associated with every predictor variable in any principal </w:t>
      </w:r>
      <w:proofErr w:type="gramStart"/>
      <w:r>
        <w:t>components</w:t>
      </w:r>
      <w:proofErr w:type="gramEnd"/>
      <w:r>
        <w:t xml:space="preserve"> regression model should all be one.  Why?</w:t>
      </w:r>
    </w:p>
    <w:p w14:paraId="5A629DD4" w14:textId="77777777" w:rsidR="002A0E90" w:rsidRDefault="002A0E90" w:rsidP="002A0E90">
      <w:pPr>
        <w:pStyle w:val="ListParagraph"/>
      </w:pPr>
    </w:p>
    <w:p w14:paraId="2D058423" w14:textId="56A00ACB" w:rsidR="002A0E90" w:rsidRDefault="002A0E90" w:rsidP="002A0E90">
      <w:pPr>
        <w:pStyle w:val="ListParagraph"/>
        <w:numPr>
          <w:ilvl w:val="2"/>
          <w:numId w:val="19"/>
        </w:numPr>
      </w:pPr>
      <w:r>
        <w:t>The VIF value is an indicator of multicollinearity in a linear model; the components derived by principal component analysis are derived orthogonally in linear space (no two components go in the same linear direction). This makes multicollinear relationships with the components impossible.</w:t>
      </w:r>
    </w:p>
    <w:p w14:paraId="54CAEF01" w14:textId="77777777" w:rsidR="002A0E90" w:rsidRPr="005246EC" w:rsidRDefault="002A0E90" w:rsidP="002A0E90">
      <w:pPr>
        <w:pStyle w:val="ListParagraph"/>
        <w:numPr>
          <w:ilvl w:val="0"/>
          <w:numId w:val="19"/>
        </w:numPr>
      </w:pPr>
      <w:bookmarkStart w:id="0" w:name="_GoBack"/>
      <w:bookmarkEnd w:id="0"/>
    </w:p>
    <w:p w14:paraId="33C5ECB6" w14:textId="34E77A2B" w:rsidR="00A30D3D" w:rsidRDefault="00A30D3D" w:rsidP="00C27F99">
      <w:pPr>
        <w:spacing w:before="0" w:line="276" w:lineRule="auto"/>
        <w:ind w:left="360"/>
      </w:pPr>
    </w:p>
    <w:p w14:paraId="0370A907" w14:textId="08FEE362" w:rsidR="00197648" w:rsidRDefault="00197648" w:rsidP="00A30D3D"/>
    <w:p w14:paraId="0397D356" w14:textId="48B9D0CE" w:rsidR="00C27F99" w:rsidRDefault="00C27F99" w:rsidP="00A30D3D"/>
    <w:p w14:paraId="17B8F63D" w14:textId="77777777" w:rsidR="00C27F99" w:rsidRPr="00F960BA" w:rsidRDefault="00C27F99" w:rsidP="00A30D3D"/>
    <w:p w14:paraId="43F42241" w14:textId="4FCEB6C7" w:rsidR="004C6B76" w:rsidRDefault="004C6B76" w:rsidP="00C021CA">
      <w:pPr>
        <w:pStyle w:val="Heading3"/>
      </w:pPr>
      <w:r>
        <w:t>Research</w:t>
      </w:r>
    </w:p>
    <w:p w14:paraId="58A9E94B" w14:textId="056C69F3" w:rsidR="00F960BA" w:rsidRPr="00F960BA" w:rsidRDefault="00F960BA" w:rsidP="00F960BA"/>
    <w:p w14:paraId="74849F02" w14:textId="095B98D9" w:rsidR="004C6B76" w:rsidRDefault="004C6B76" w:rsidP="00C021CA">
      <w:pPr>
        <w:pStyle w:val="Heading3"/>
      </w:pPr>
      <w:r>
        <w:t>Conclusion</w:t>
      </w:r>
    </w:p>
    <w:sectPr w:rsidR="004C6B76" w:rsidSect="00382EEC">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04070" w14:textId="77777777" w:rsidR="00C541C1" w:rsidRDefault="00C541C1">
      <w:pPr>
        <w:spacing w:after="0" w:line="240" w:lineRule="auto"/>
      </w:pPr>
      <w:r>
        <w:separator/>
      </w:r>
    </w:p>
  </w:endnote>
  <w:endnote w:type="continuationSeparator" w:id="0">
    <w:p w14:paraId="6F781D75" w14:textId="77777777" w:rsidR="00C541C1" w:rsidRDefault="00C5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5619" w14:textId="77777777" w:rsidR="00C541C1" w:rsidRDefault="00C541C1">
      <w:pPr>
        <w:spacing w:after="0" w:line="240" w:lineRule="auto"/>
      </w:pPr>
      <w:r>
        <w:separator/>
      </w:r>
    </w:p>
  </w:footnote>
  <w:footnote w:type="continuationSeparator" w:id="0">
    <w:p w14:paraId="76A48BFB" w14:textId="77777777" w:rsidR="00C541C1" w:rsidRDefault="00C54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6058B"/>
    <w:rsid w:val="000B575A"/>
    <w:rsid w:val="000B697B"/>
    <w:rsid w:val="000D3979"/>
    <w:rsid w:val="000E57CE"/>
    <w:rsid w:val="00103765"/>
    <w:rsid w:val="00122AB0"/>
    <w:rsid w:val="001414EF"/>
    <w:rsid w:val="0015520D"/>
    <w:rsid w:val="00183E27"/>
    <w:rsid w:val="00187694"/>
    <w:rsid w:val="00194DF6"/>
    <w:rsid w:val="00197648"/>
    <w:rsid w:val="001A562B"/>
    <w:rsid w:val="001B1B33"/>
    <w:rsid w:val="001C431A"/>
    <w:rsid w:val="00215A06"/>
    <w:rsid w:val="00235032"/>
    <w:rsid w:val="00270579"/>
    <w:rsid w:val="002A0E90"/>
    <w:rsid w:val="002C646A"/>
    <w:rsid w:val="002C7258"/>
    <w:rsid w:val="002D4FAC"/>
    <w:rsid w:val="00352C5E"/>
    <w:rsid w:val="003655E0"/>
    <w:rsid w:val="00372388"/>
    <w:rsid w:val="00382EEC"/>
    <w:rsid w:val="00397A8C"/>
    <w:rsid w:val="003A4485"/>
    <w:rsid w:val="003B7D5C"/>
    <w:rsid w:val="003C582D"/>
    <w:rsid w:val="00400D5C"/>
    <w:rsid w:val="0046642F"/>
    <w:rsid w:val="004742A0"/>
    <w:rsid w:val="00474853"/>
    <w:rsid w:val="00474C14"/>
    <w:rsid w:val="00491FE1"/>
    <w:rsid w:val="004A042E"/>
    <w:rsid w:val="004B228D"/>
    <w:rsid w:val="004C6B76"/>
    <w:rsid w:val="004D63E4"/>
    <w:rsid w:val="004D7DFC"/>
    <w:rsid w:val="004E1AED"/>
    <w:rsid w:val="004E6BE4"/>
    <w:rsid w:val="00500B16"/>
    <w:rsid w:val="005108F0"/>
    <w:rsid w:val="0051406E"/>
    <w:rsid w:val="005246EC"/>
    <w:rsid w:val="00551956"/>
    <w:rsid w:val="00567BEB"/>
    <w:rsid w:val="005C0FF0"/>
    <w:rsid w:val="005C12A5"/>
    <w:rsid w:val="005C2F33"/>
    <w:rsid w:val="006023ED"/>
    <w:rsid w:val="00634455"/>
    <w:rsid w:val="006410B6"/>
    <w:rsid w:val="00665189"/>
    <w:rsid w:val="0069012E"/>
    <w:rsid w:val="00692A68"/>
    <w:rsid w:val="006D7DF3"/>
    <w:rsid w:val="006E0522"/>
    <w:rsid w:val="0070001A"/>
    <w:rsid w:val="00700245"/>
    <w:rsid w:val="00711464"/>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645DF"/>
    <w:rsid w:val="00972564"/>
    <w:rsid w:val="00995F99"/>
    <w:rsid w:val="009C09A0"/>
    <w:rsid w:val="009D3285"/>
    <w:rsid w:val="009D32DC"/>
    <w:rsid w:val="009D5810"/>
    <w:rsid w:val="009F5517"/>
    <w:rsid w:val="00A1310C"/>
    <w:rsid w:val="00A13A36"/>
    <w:rsid w:val="00A15B90"/>
    <w:rsid w:val="00A30D3D"/>
    <w:rsid w:val="00A64317"/>
    <w:rsid w:val="00A6780C"/>
    <w:rsid w:val="00A84AC8"/>
    <w:rsid w:val="00AD1881"/>
    <w:rsid w:val="00B138DE"/>
    <w:rsid w:val="00B17C49"/>
    <w:rsid w:val="00B25194"/>
    <w:rsid w:val="00B30BE8"/>
    <w:rsid w:val="00B419AC"/>
    <w:rsid w:val="00B534E0"/>
    <w:rsid w:val="00B757B1"/>
    <w:rsid w:val="00B920FA"/>
    <w:rsid w:val="00BC33EA"/>
    <w:rsid w:val="00C021CA"/>
    <w:rsid w:val="00C27F99"/>
    <w:rsid w:val="00C359F2"/>
    <w:rsid w:val="00C526F3"/>
    <w:rsid w:val="00C541C1"/>
    <w:rsid w:val="00C776FA"/>
    <w:rsid w:val="00CB37DF"/>
    <w:rsid w:val="00CB62AB"/>
    <w:rsid w:val="00CC1399"/>
    <w:rsid w:val="00CC3E85"/>
    <w:rsid w:val="00CF3B0A"/>
    <w:rsid w:val="00D007F0"/>
    <w:rsid w:val="00D354DB"/>
    <w:rsid w:val="00D40BC3"/>
    <w:rsid w:val="00D43205"/>
    <w:rsid w:val="00D47A97"/>
    <w:rsid w:val="00DA4C04"/>
    <w:rsid w:val="00DC0035"/>
    <w:rsid w:val="00E04D39"/>
    <w:rsid w:val="00E0751C"/>
    <w:rsid w:val="00E11FFC"/>
    <w:rsid w:val="00E34633"/>
    <w:rsid w:val="00E411AA"/>
    <w:rsid w:val="00E631E5"/>
    <w:rsid w:val="00E64D1C"/>
    <w:rsid w:val="00E9030D"/>
    <w:rsid w:val="00EC07D3"/>
    <w:rsid w:val="00F26525"/>
    <w:rsid w:val="00F33EFB"/>
    <w:rsid w:val="00F47629"/>
    <w:rsid w:val="00F57462"/>
    <w:rsid w:val="00F66087"/>
    <w:rsid w:val="00F77803"/>
    <w:rsid w:val="00F960BA"/>
    <w:rsid w:val="00FE386E"/>
    <w:rsid w:val="00FE7B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10102989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4C186E73-7CCF-4952-A103-F8A623F4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3536</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89</cp:revision>
  <dcterms:created xsi:type="dcterms:W3CDTF">2018-10-06T17:09:00Z</dcterms:created>
  <dcterms:modified xsi:type="dcterms:W3CDTF">2019-10-02T17:25:00Z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