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621" w:rsidRDefault="00B24621" w:rsidP="00B24621">
      <w:pPr>
        <w:pStyle w:val="Heading2"/>
      </w:pPr>
      <w:bookmarkStart w:id="0" w:name="_Toc511540803"/>
      <w:bookmarkStart w:id="1" w:name="_Toc78189080"/>
      <w:r>
        <w:t>Friedman’s test</w:t>
      </w:r>
      <w:bookmarkEnd w:id="0"/>
      <w:bookmarkEnd w:id="1"/>
      <w:r>
        <w:fldChar w:fldCharType="begin"/>
      </w:r>
      <w:r>
        <w:instrText xml:space="preserve"> XE "Friedman test" </w:instrText>
      </w:r>
      <w:r>
        <w:fldChar w:fldCharType="end"/>
      </w:r>
    </w:p>
    <w:p w:rsidR="00B24621" w:rsidRDefault="00B24621" w:rsidP="00B24621">
      <w:pPr>
        <w:jc w:val="both"/>
      </w:pPr>
    </w:p>
    <w:p w:rsidR="00B24621" w:rsidRDefault="00B24621" w:rsidP="00B24621">
      <w:pPr>
        <w:jc w:val="both"/>
      </w:pPr>
      <w:r>
        <w:t>The Friedman test</w:t>
      </w:r>
      <w:r>
        <w:fldChar w:fldCharType="begin"/>
      </w:r>
      <w:r>
        <w:instrText xml:space="preserve"> XE "Friedman test" </w:instrText>
      </w:r>
      <w:r>
        <w:fldChar w:fldCharType="end"/>
      </w:r>
      <w:r>
        <w:t xml:space="preserve"> extends the previously mentioned Wilcoxon signed ranks</w:t>
      </w:r>
      <w:r>
        <w:fldChar w:fldCharType="begin"/>
      </w:r>
      <w:r>
        <w:instrText xml:space="preserve"> XE "Ranks" </w:instrText>
      </w:r>
      <w:r>
        <w:fldChar w:fldCharType="end"/>
      </w:r>
      <w:r>
        <w:t xml:space="preserve"> test</w:t>
      </w:r>
      <w:r>
        <w:fldChar w:fldCharType="begin"/>
      </w:r>
      <w:r>
        <w:instrText xml:space="preserve"> XE "Wilcoxon signed rank test" </w:instrText>
      </w:r>
      <w:r>
        <w:fldChar w:fldCharType="end"/>
      </w:r>
      <w:r>
        <w:t xml:space="preserve"> to more than two repeated values at more than two time points.  Alternatively, to more than two matched groups where the individuals of each group are randomly assigned to a group.</w:t>
      </w:r>
    </w:p>
    <w:p w:rsidR="00B24621" w:rsidRDefault="00B24621" w:rsidP="00B24621">
      <w:pPr>
        <w:jc w:val="both"/>
      </w:pPr>
    </w:p>
    <w:p w:rsidR="00B24621" w:rsidRDefault="00B24621" w:rsidP="00B24621">
      <w:pPr>
        <w:jc w:val="both"/>
      </w:pPr>
      <w:r>
        <w:t>The test examines the ranks</w:t>
      </w:r>
      <w:r>
        <w:fldChar w:fldCharType="begin"/>
      </w:r>
      <w:r>
        <w:instrText xml:space="preserve"> XE "Ranks" </w:instrText>
      </w:r>
      <w:r>
        <w:fldChar w:fldCharType="end"/>
      </w:r>
      <w:r>
        <w:t xml:space="preserve"> at the different time points or matched pairs and tests whether the continuous underlying distribution of the variables is the same.  It is the non-parametric</w:t>
      </w:r>
      <w:r>
        <w:fldChar w:fldCharType="begin"/>
      </w:r>
      <w:r>
        <w:instrText xml:space="preserve"> XE "Non-parametric" </w:instrText>
      </w:r>
      <w:r>
        <w:fldChar w:fldCharType="end"/>
      </w:r>
      <w:r>
        <w:t xml:space="preserve"> equivalent of the repeated measures ANOVA</w:t>
      </w:r>
      <w:r>
        <w:fldChar w:fldCharType="begin"/>
      </w:r>
      <w:r>
        <w:instrText xml:space="preserve"> XE "ANOVA" </w:instrText>
      </w:r>
      <w:r>
        <w:fldChar w:fldCharType="end"/>
      </w:r>
      <w:r>
        <w:t>.</w:t>
      </w:r>
    </w:p>
    <w:p w:rsidR="00B24621" w:rsidRDefault="00B24621" w:rsidP="00B24621">
      <w:pPr>
        <w:jc w:val="both"/>
      </w:pPr>
    </w:p>
    <w:p w:rsidR="00B24621" w:rsidRDefault="00B24621" w:rsidP="00B24621">
      <w:pPr>
        <w:jc w:val="both"/>
      </w:pPr>
    </w:p>
    <w:p w:rsidR="00B24621" w:rsidRDefault="00B24621" w:rsidP="00B24621">
      <w:pPr>
        <w:pStyle w:val="Heading3"/>
      </w:pPr>
      <w:bookmarkStart w:id="2" w:name="_Toc511540804"/>
      <w:bookmarkStart w:id="3" w:name="_Toc78189081"/>
      <w:r>
        <w:t>Examples from the Literature</w:t>
      </w:r>
      <w:bookmarkEnd w:id="2"/>
      <w:bookmarkEnd w:id="3"/>
      <w:r>
        <w:fldChar w:fldCharType="begin"/>
      </w:r>
      <w:r>
        <w:instrText xml:space="preserve"> XE "Friedman test:examples from the literature" </w:instrText>
      </w:r>
      <w:r>
        <w:fldChar w:fldCharType="end"/>
      </w:r>
    </w:p>
    <w:p w:rsidR="00B24621" w:rsidRDefault="00B24621" w:rsidP="00B24621">
      <w:pPr>
        <w:rPr>
          <w:rStyle w:val="Emphasis"/>
          <w:i w:val="0"/>
        </w:rPr>
      </w:pPr>
    </w:p>
    <w:p w:rsidR="00B24621" w:rsidRDefault="00B24621" w:rsidP="00B24621">
      <w:pPr>
        <w:pBdr>
          <w:top w:val="single" w:sz="12" w:space="1" w:color="auto"/>
          <w:left w:val="single" w:sz="12" w:space="4" w:color="auto"/>
          <w:bottom w:val="single" w:sz="12" w:space="1" w:color="auto"/>
          <w:right w:val="single" w:sz="12" w:space="4" w:color="auto"/>
        </w:pBdr>
        <w:jc w:val="both"/>
      </w:pPr>
      <w:r>
        <w:rPr>
          <w:rStyle w:val="Emphasis"/>
          <w:i w:val="0"/>
        </w:rPr>
        <w:t>The Friedman test</w:t>
      </w:r>
      <w:r>
        <w:rPr>
          <w:rStyle w:val="Emphasis"/>
          <w:i w:val="0"/>
        </w:rPr>
        <w:fldChar w:fldCharType="begin"/>
      </w:r>
      <w:r>
        <w:instrText xml:space="preserve"> XE "Friedman test" </w:instrText>
      </w:r>
      <w:r>
        <w:rPr>
          <w:rStyle w:val="Emphasis"/>
          <w:i w:val="0"/>
        </w:rPr>
        <w:fldChar w:fldCharType="end"/>
      </w:r>
      <w:r>
        <w:rPr>
          <w:rStyle w:val="Emphasis"/>
          <w:i w:val="0"/>
        </w:rPr>
        <w:t xml:space="preserve"> is used by </w:t>
      </w:r>
      <w:r>
        <w:t>Kraemer et al in their paper: “Time-of-day variations of indicators of attention: performance, physiologic parameters, and self-assessment of sleepiness” (</w:t>
      </w:r>
      <w:r>
        <w:rPr>
          <w:rStyle w:val="Emphasis"/>
        </w:rPr>
        <w:t>Biol Psychiatry</w:t>
      </w:r>
      <w:r>
        <w:t xml:space="preserve"> 2000 Dec 1; 48(11)</w:t>
      </w:r>
      <w:proofErr w:type="gramStart"/>
      <w:r>
        <w:t>:1069</w:t>
      </w:r>
      <w:proofErr w:type="gramEnd"/>
      <w:r>
        <w:t>-80).  The objective of this study was to analyse time-of-day variations of different indicators of attention and their interrelations.  Time-of-day variations were tested non-parametrically with Friedman's test for repeated measurements.</w:t>
      </w:r>
    </w:p>
    <w:p w:rsidR="00B24621" w:rsidRDefault="00B24621" w:rsidP="00B24621"/>
    <w:p w:rsidR="00B24621" w:rsidRDefault="00B24621" w:rsidP="00B24621">
      <w:pPr>
        <w:pBdr>
          <w:top w:val="single" w:sz="12" w:space="1" w:color="auto"/>
          <w:left w:val="single" w:sz="12" w:space="4" w:color="auto"/>
          <w:bottom w:val="single" w:sz="12" w:space="1" w:color="auto"/>
          <w:right w:val="single" w:sz="12" w:space="4" w:color="auto"/>
        </w:pBdr>
        <w:jc w:val="both"/>
      </w:pPr>
      <w:r>
        <w:t>Gustafson et al also use the Friedman test</w:t>
      </w:r>
      <w:r>
        <w:fldChar w:fldCharType="begin"/>
      </w:r>
      <w:r>
        <w:instrText xml:space="preserve"> XE "Friedman test" </w:instrText>
      </w:r>
      <w:r>
        <w:fldChar w:fldCharType="end"/>
      </w:r>
      <w:r>
        <w:t xml:space="preserve"> in their paper: “Effects of 4 hand-drying methods for removing bacteria from washed hands: a randomised trial” (</w:t>
      </w:r>
      <w:r>
        <w:rPr>
          <w:rStyle w:val="Emphasis"/>
        </w:rPr>
        <w:t>Mayo Clin Proc</w:t>
      </w:r>
      <w:r>
        <w:t xml:space="preserve"> 2000 Jul; 75(7): 705-8).  The objective of this study was to evaluate the effects of 4 different drying methods to remove bacteria from washed hands.  The Friedman test was used to show that there was no significant difference in the efficiency of the four methods at removing bacteria. </w:t>
      </w:r>
    </w:p>
    <w:p w:rsidR="00B24621" w:rsidRDefault="00B24621" w:rsidP="00B24621">
      <w:pPr>
        <w:jc w:val="both"/>
      </w:pPr>
    </w:p>
    <w:p w:rsidR="00B24621" w:rsidRDefault="00B24621" w:rsidP="00B24621">
      <w:pPr>
        <w:jc w:val="both"/>
      </w:pPr>
    </w:p>
    <w:p w:rsidR="00B24621" w:rsidRDefault="00B24621" w:rsidP="00B24621">
      <w:pPr>
        <w:pStyle w:val="Heading3"/>
        <w:jc w:val="both"/>
      </w:pPr>
      <w:bookmarkStart w:id="4" w:name="_Toc511540805"/>
      <w:bookmarkStart w:id="5" w:name="_Toc78189082"/>
      <w:r>
        <w:t>Null Hypothesis</w:t>
      </w:r>
      <w:bookmarkEnd w:id="4"/>
      <w:bookmarkEnd w:id="5"/>
      <w:r>
        <w:fldChar w:fldCharType="begin"/>
      </w:r>
      <w:r>
        <w:instrText xml:space="preserve"> XE "Friedman test:null hypothesis" </w:instrText>
      </w:r>
      <w:r>
        <w:fldChar w:fldCharType="end"/>
      </w:r>
    </w:p>
    <w:p w:rsidR="00B24621" w:rsidRDefault="00B24621" w:rsidP="00B24621">
      <w:pPr>
        <w:jc w:val="both"/>
      </w:pPr>
    </w:p>
    <w:p w:rsidR="00B24621" w:rsidRDefault="00B24621" w:rsidP="00B24621">
      <w:pPr>
        <w:jc w:val="both"/>
      </w:pPr>
      <w:r>
        <w:t>H</w:t>
      </w:r>
      <w:r>
        <w:rPr>
          <w:vertAlign w:val="subscript"/>
        </w:rPr>
        <w:t>0</w:t>
      </w:r>
      <w:r>
        <w:t>: There is no difference in median between the groups being tested.</w:t>
      </w:r>
    </w:p>
    <w:p w:rsidR="00B24621" w:rsidRDefault="00B24621" w:rsidP="00B24621">
      <w:pPr>
        <w:jc w:val="both"/>
      </w:pPr>
      <w:r>
        <w:t>H</w:t>
      </w:r>
      <w:r>
        <w:rPr>
          <w:vertAlign w:val="subscript"/>
        </w:rPr>
        <w:t>A</w:t>
      </w:r>
      <w:r>
        <w:t>: There is at least one difference in median between the groups.</w:t>
      </w:r>
    </w:p>
    <w:p w:rsidR="00B24621" w:rsidRDefault="00B24621" w:rsidP="00B24621">
      <w:pPr>
        <w:jc w:val="both"/>
      </w:pPr>
    </w:p>
    <w:p w:rsidR="00B24621" w:rsidRDefault="00B24621" w:rsidP="00B24621">
      <w:pPr>
        <w:jc w:val="both"/>
      </w:pPr>
      <w:r>
        <w:t xml:space="preserve">This is a non-directional alternative hypothesis.  If the alternative hypothesis </w:t>
      </w:r>
      <w:proofErr w:type="gramStart"/>
      <w:r>
        <w:t>is</w:t>
      </w:r>
      <w:proofErr w:type="gramEnd"/>
      <w:r>
        <w:t xml:space="preserve"> to be directional a more powerful way of analysing the data would be to carry out planned comparisons, with the appropriate correction for multiple testing.  Alternatively, overall tests of significance followed by post hoc tests can be used.</w:t>
      </w:r>
    </w:p>
    <w:p w:rsidR="00B24621" w:rsidRDefault="00B24621" w:rsidP="00B24621">
      <w:pPr>
        <w:jc w:val="both"/>
        <w:rPr>
          <w:b/>
        </w:rPr>
      </w:pPr>
    </w:p>
    <w:p w:rsidR="00B24621" w:rsidRDefault="00B24621" w:rsidP="00B24621">
      <w:pPr>
        <w:jc w:val="both"/>
        <w:rPr>
          <w:b/>
        </w:rPr>
      </w:pPr>
    </w:p>
    <w:p w:rsidR="00B24621" w:rsidRDefault="00B24621" w:rsidP="00B24621">
      <w:pPr>
        <w:pStyle w:val="Heading3"/>
        <w:jc w:val="both"/>
      </w:pPr>
      <w:bookmarkStart w:id="6" w:name="_Toc511540806"/>
      <w:bookmarkStart w:id="7" w:name="_Toc78189083"/>
      <w:r>
        <w:t>Assumptions</w:t>
      </w:r>
      <w:bookmarkEnd w:id="6"/>
      <w:bookmarkEnd w:id="7"/>
      <w:r>
        <w:fldChar w:fldCharType="begin"/>
      </w:r>
      <w:r>
        <w:instrText xml:space="preserve"> XE "Friedman test:assumptions" </w:instrText>
      </w:r>
      <w:r>
        <w:fldChar w:fldCharType="end"/>
      </w:r>
    </w:p>
    <w:p w:rsidR="00B24621" w:rsidRDefault="00B24621" w:rsidP="00B24621">
      <w:pPr>
        <w:jc w:val="both"/>
      </w:pPr>
    </w:p>
    <w:p w:rsidR="00B24621" w:rsidRDefault="00B24621" w:rsidP="00B24621">
      <w:pPr>
        <w:numPr>
          <w:ilvl w:val="0"/>
          <w:numId w:val="1"/>
        </w:numPr>
        <w:jc w:val="both"/>
      </w:pPr>
      <w:r>
        <w:t>The data to be analysed are continuous and at least at the ordinal</w:t>
      </w:r>
      <w:r>
        <w:fldChar w:fldCharType="begin"/>
      </w:r>
      <w:r>
        <w:instrText xml:space="preserve"> XE "Types of data:ordinal" </w:instrText>
      </w:r>
      <w:r>
        <w:fldChar w:fldCharType="end"/>
      </w:r>
      <w:r>
        <w:t xml:space="preserve"> level of measurement.</w:t>
      </w:r>
    </w:p>
    <w:p w:rsidR="00B24621" w:rsidRDefault="00B24621" w:rsidP="00B24621">
      <w:pPr>
        <w:numPr>
          <w:ilvl w:val="0"/>
          <w:numId w:val="1"/>
        </w:numPr>
        <w:jc w:val="both"/>
      </w:pPr>
      <w:r>
        <w:t>The data from a randomly selected sample are either multiple observations from a single sample across more than two time periods or conditions.  Otherwise, the data are blocks of matched subjects in which the subjects from a given block are each randomly assigned to one of the three or more conditions.</w:t>
      </w:r>
    </w:p>
    <w:p w:rsidR="00B24621" w:rsidRDefault="00B24621" w:rsidP="00B24621">
      <w:pPr>
        <w:numPr>
          <w:ilvl w:val="0"/>
          <w:numId w:val="1"/>
        </w:numPr>
        <w:jc w:val="both"/>
      </w:pPr>
      <w:r>
        <w:lastRenderedPageBreak/>
        <w:t>The subjects or blocks of subjects are independent; that is, the results within one block do not have an influence on the results within the other blocks.</w:t>
      </w:r>
    </w:p>
    <w:p w:rsidR="00B24621" w:rsidRDefault="00B24621" w:rsidP="00B24621">
      <w:pPr>
        <w:jc w:val="both"/>
      </w:pPr>
    </w:p>
    <w:p w:rsidR="00B24621" w:rsidRDefault="00B24621" w:rsidP="00B24621">
      <w:pPr>
        <w:jc w:val="both"/>
      </w:pPr>
    </w:p>
    <w:p w:rsidR="00B24621" w:rsidRDefault="00B24621" w:rsidP="00B24621">
      <w:pPr>
        <w:pStyle w:val="Heading3"/>
        <w:jc w:val="both"/>
      </w:pPr>
      <w:bookmarkStart w:id="8" w:name="_Toc511540807"/>
      <w:bookmarkStart w:id="9" w:name="_Toc78189084"/>
      <w:r>
        <w:t>Method</w:t>
      </w:r>
      <w:bookmarkEnd w:id="8"/>
      <w:bookmarkEnd w:id="9"/>
      <w:r>
        <w:fldChar w:fldCharType="begin"/>
      </w:r>
      <w:r>
        <w:instrText xml:space="preserve"> XE "Friedman test:method" </w:instrText>
      </w:r>
      <w:r>
        <w:fldChar w:fldCharType="end"/>
      </w:r>
    </w:p>
    <w:p w:rsidR="00B24621" w:rsidRDefault="00B24621" w:rsidP="00B24621">
      <w:pPr>
        <w:jc w:val="both"/>
      </w:pPr>
    </w:p>
    <w:p w:rsidR="00B24621" w:rsidRDefault="00B24621" w:rsidP="00B24621">
      <w:pPr>
        <w:numPr>
          <w:ilvl w:val="0"/>
          <w:numId w:val="2"/>
        </w:numPr>
        <w:jc w:val="both"/>
      </w:pPr>
      <w:r>
        <w:t>Construct the null and alternative hypotheses.</w:t>
      </w:r>
    </w:p>
    <w:p w:rsidR="00B24621" w:rsidRDefault="00B24621" w:rsidP="00B24621">
      <w:pPr>
        <w:numPr>
          <w:ilvl w:val="0"/>
          <w:numId w:val="2"/>
        </w:numPr>
        <w:jc w:val="both"/>
      </w:pPr>
      <w:r>
        <w:t xml:space="preserve">Construct a two-way table with </w:t>
      </w:r>
      <w:r>
        <w:rPr>
          <w:i/>
        </w:rPr>
        <w:t>N</w:t>
      </w:r>
      <w:r>
        <w:t xml:space="preserve"> (the number of subjects or matched sets of subjects) rows and </w:t>
      </w:r>
      <w:r>
        <w:rPr>
          <w:i/>
        </w:rPr>
        <w:t>k</w:t>
      </w:r>
      <w:r>
        <w:t xml:space="preserve"> (the number of conditions or data collection periods) columns.</w:t>
      </w:r>
    </w:p>
    <w:p w:rsidR="00B24621" w:rsidRDefault="00B24621" w:rsidP="00B24621">
      <w:pPr>
        <w:numPr>
          <w:ilvl w:val="0"/>
          <w:numId w:val="2"/>
        </w:numPr>
        <w:jc w:val="both"/>
      </w:pPr>
      <w:r>
        <w:t>Rank each row from lowest to highest and sum ranks in each column.</w:t>
      </w:r>
    </w:p>
    <w:p w:rsidR="00B24621" w:rsidRDefault="00B24621" w:rsidP="00B24621">
      <w:pPr>
        <w:numPr>
          <w:ilvl w:val="0"/>
          <w:numId w:val="2"/>
        </w:numPr>
        <w:jc w:val="both"/>
      </w:pPr>
      <w:r>
        <w:t>If the null hypothesis</w:t>
      </w:r>
      <w:r>
        <w:fldChar w:fldCharType="begin"/>
      </w:r>
      <w:r>
        <w:instrText xml:space="preserve"> XE "Null hypothesis" </w:instrText>
      </w:r>
      <w:r>
        <w:fldChar w:fldCharType="end"/>
      </w:r>
      <w:r>
        <w:t xml:space="preserve"> is not true then the sum of the columns will vary from column to column.  The Friedman test</w:t>
      </w:r>
      <w:r>
        <w:fldChar w:fldCharType="begin"/>
      </w:r>
      <w:r>
        <w:instrText xml:space="preserve"> XE "Friedman test" </w:instrText>
      </w:r>
      <w:r>
        <w:fldChar w:fldCharType="end"/>
      </w:r>
      <w:r>
        <w:t xml:space="preserve"> examines the extent to which these column sums vary from what is expected using the following formula:</w:t>
      </w:r>
    </w:p>
    <w:p w:rsidR="00B24621" w:rsidRDefault="00B24621" w:rsidP="00B24621">
      <w:pPr>
        <w:tabs>
          <w:tab w:val="num" w:pos="360"/>
        </w:tabs>
        <w:jc w:val="both"/>
      </w:pPr>
    </w:p>
    <w:p w:rsidR="00B24621" w:rsidRDefault="00B24621" w:rsidP="00B24621">
      <w:pPr>
        <w:tabs>
          <w:tab w:val="num" w:pos="360"/>
        </w:tabs>
        <w:ind w:left="720"/>
        <w:jc w:val="center"/>
      </w:pPr>
      <w:r>
        <w:rPr>
          <w:position w:val="-32"/>
        </w:rPr>
        <w:object w:dxaOrig="35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pt;height:38pt" o:ole="" fillcolor="window">
            <v:imagedata r:id="rId6" o:title=""/>
          </v:shape>
          <o:OLEObject Type="Embed" ProgID="Equation.3" ShapeID="_x0000_i1025" DrawAspect="Content" ObjectID="_1378197529" r:id="rId7"/>
        </w:object>
      </w:r>
    </w:p>
    <w:p w:rsidR="00B24621" w:rsidRDefault="00B24621" w:rsidP="00B24621">
      <w:pPr>
        <w:tabs>
          <w:tab w:val="num" w:pos="360"/>
        </w:tabs>
        <w:ind w:left="720"/>
        <w:jc w:val="both"/>
      </w:pPr>
    </w:p>
    <w:p w:rsidR="00B24621" w:rsidRDefault="00B24621" w:rsidP="00B24621">
      <w:pPr>
        <w:tabs>
          <w:tab w:val="num" w:pos="360"/>
        </w:tabs>
        <w:jc w:val="both"/>
      </w:pPr>
      <w:r>
        <w:tab/>
      </w:r>
      <w:proofErr w:type="gramStart"/>
      <w:r>
        <w:t>where</w:t>
      </w:r>
      <w:proofErr w:type="gramEnd"/>
      <w:r>
        <w:t>,</w:t>
      </w:r>
    </w:p>
    <w:p w:rsidR="00B24621" w:rsidRDefault="00B24621" w:rsidP="00B24621">
      <w:pPr>
        <w:tabs>
          <w:tab w:val="num" w:pos="360"/>
        </w:tabs>
        <w:jc w:val="both"/>
      </w:pPr>
      <w:r>
        <w:tab/>
      </w:r>
      <w:r>
        <w:rPr>
          <w:i/>
        </w:rPr>
        <w:t>R</w:t>
      </w:r>
      <w:r>
        <w:rPr>
          <w:i/>
          <w:vertAlign w:val="subscript"/>
        </w:rPr>
        <w:t>j</w:t>
      </w:r>
      <w:r>
        <w:t xml:space="preserve"> = the sum of the ranks</w:t>
      </w:r>
      <w:r>
        <w:fldChar w:fldCharType="begin"/>
      </w:r>
      <w:r>
        <w:instrText xml:space="preserve"> XE "Ranks" </w:instrText>
      </w:r>
      <w:r>
        <w:fldChar w:fldCharType="end"/>
      </w:r>
      <w:r>
        <w:t xml:space="preserve"> for column </w:t>
      </w:r>
      <w:r>
        <w:rPr>
          <w:i/>
        </w:rPr>
        <w:t>j</w:t>
      </w:r>
    </w:p>
    <w:p w:rsidR="00B24621" w:rsidRDefault="00B24621" w:rsidP="00B24621">
      <w:pPr>
        <w:tabs>
          <w:tab w:val="num" w:pos="360"/>
        </w:tabs>
        <w:jc w:val="both"/>
      </w:pPr>
      <w:r>
        <w:tab/>
      </w:r>
      <w:r>
        <w:rPr>
          <w:i/>
        </w:rPr>
        <w:t>N</w:t>
      </w:r>
      <w:r>
        <w:t xml:space="preserve"> = the number of subjects</w:t>
      </w:r>
    </w:p>
    <w:p w:rsidR="00B24621" w:rsidRDefault="00B24621" w:rsidP="00B24621">
      <w:pPr>
        <w:tabs>
          <w:tab w:val="num" w:pos="360"/>
        </w:tabs>
        <w:jc w:val="both"/>
      </w:pPr>
      <w:r>
        <w:rPr>
          <w:i/>
        </w:rPr>
        <w:tab/>
      </w:r>
      <w:proofErr w:type="gramStart"/>
      <w:r>
        <w:rPr>
          <w:i/>
        </w:rPr>
        <w:t>k</w:t>
      </w:r>
      <w:proofErr w:type="gramEnd"/>
      <w:r>
        <w:t xml:space="preserve"> = the number of periods or conditions.</w:t>
      </w:r>
    </w:p>
    <w:p w:rsidR="00B24621" w:rsidRDefault="00B24621" w:rsidP="00B24621">
      <w:pPr>
        <w:numPr>
          <w:ilvl w:val="0"/>
          <w:numId w:val="3"/>
        </w:numPr>
        <w:jc w:val="both"/>
      </w:pPr>
      <w:r>
        <w:t xml:space="preserve">Look </w:t>
      </w:r>
      <w:r>
        <w:rPr>
          <w:i/>
        </w:rPr>
        <w:t>F</w:t>
      </w:r>
      <w:r>
        <w:rPr>
          <w:i/>
          <w:vertAlign w:val="subscript"/>
        </w:rPr>
        <w:t>r</w:t>
      </w:r>
      <w:r>
        <w:t xml:space="preserve"> up in tables of Friedman’s distribution.</w:t>
      </w:r>
    </w:p>
    <w:p w:rsidR="00B24621" w:rsidRDefault="00B24621" w:rsidP="00B24621">
      <w:pPr>
        <w:numPr>
          <w:ilvl w:val="0"/>
          <w:numId w:val="3"/>
        </w:numPr>
        <w:jc w:val="both"/>
      </w:pPr>
      <w:r>
        <w:t>Reject the null hypothesis</w:t>
      </w:r>
      <w:r>
        <w:fldChar w:fldCharType="begin"/>
      </w:r>
      <w:r>
        <w:instrText xml:space="preserve"> XE "Null hypothesis" </w:instrText>
      </w:r>
      <w:r>
        <w:fldChar w:fldCharType="end"/>
      </w:r>
      <w:r>
        <w:t xml:space="preserve"> in favour of the alternative hypothesis if the </w:t>
      </w:r>
      <w:r>
        <w:rPr>
          <w:i/>
        </w:rPr>
        <w:t>F</w:t>
      </w:r>
      <w:r>
        <w:rPr>
          <w:i/>
          <w:vertAlign w:val="subscript"/>
        </w:rPr>
        <w:t xml:space="preserve">r </w:t>
      </w:r>
      <w:r>
        <w:rPr>
          <w:iCs/>
        </w:rPr>
        <w:t>value</w:t>
      </w:r>
      <w:r>
        <w:t xml:space="preserve"> is greater than (or equal to) the value in the tables.</w:t>
      </w:r>
    </w:p>
    <w:p w:rsidR="00B24621" w:rsidRDefault="00B24621" w:rsidP="00B24621">
      <w:pPr>
        <w:jc w:val="both"/>
      </w:pPr>
    </w:p>
    <w:p w:rsidR="00B24621" w:rsidRDefault="00B24621" w:rsidP="00B24621">
      <w:pPr>
        <w:jc w:val="both"/>
      </w:pPr>
      <w:r>
        <w:t xml:space="preserve">Note: If </w:t>
      </w:r>
      <w:r>
        <w:rPr>
          <w:i/>
        </w:rPr>
        <w:t>N</w:t>
      </w:r>
      <w:r>
        <w:t xml:space="preserve"> and </w:t>
      </w:r>
      <w:r>
        <w:rPr>
          <w:i/>
        </w:rPr>
        <w:t>k</w:t>
      </w:r>
      <w:r>
        <w:t xml:space="preserve"> are sufficiently large, then </w:t>
      </w:r>
      <w:r>
        <w:rPr>
          <w:i/>
        </w:rPr>
        <w:t>F</w:t>
      </w:r>
      <w:r>
        <w:rPr>
          <w:i/>
          <w:vertAlign w:val="subscript"/>
        </w:rPr>
        <w:t>r</w:t>
      </w:r>
      <w:r>
        <w:t xml:space="preserve"> can be compared to a </w:t>
      </w:r>
      <w:r>
        <w:rPr>
          <w:i/>
        </w:rPr>
        <w:sym w:font="Symbol" w:char="F063"/>
      </w:r>
      <w:r>
        <w:rPr>
          <w:i/>
          <w:vertAlign w:val="superscript"/>
        </w:rPr>
        <w:t>2</w:t>
      </w:r>
      <w:r>
        <w:t xml:space="preserve"> distribution on </w:t>
      </w:r>
    </w:p>
    <w:p w:rsidR="00B24621" w:rsidRDefault="00B24621" w:rsidP="00B24621">
      <w:pPr>
        <w:jc w:val="both"/>
      </w:pPr>
      <w:r>
        <w:t xml:space="preserve">          </w:t>
      </w:r>
      <w:proofErr w:type="gramStart"/>
      <w:r>
        <w:rPr>
          <w:i/>
        </w:rPr>
        <w:t>k</w:t>
      </w:r>
      <w:proofErr w:type="gramEnd"/>
      <w:r>
        <w:rPr>
          <w:i/>
        </w:rPr>
        <w:t>-1</w:t>
      </w:r>
      <w:r>
        <w:t xml:space="preserve"> degrees of freedom.</w:t>
      </w:r>
    </w:p>
    <w:p w:rsidR="00B24621" w:rsidRDefault="00B24621" w:rsidP="00B24621">
      <w:pPr>
        <w:jc w:val="both"/>
        <w:rPr>
          <w:b/>
        </w:rPr>
      </w:pPr>
    </w:p>
    <w:p w:rsidR="00B24621" w:rsidRDefault="00B24621" w:rsidP="00B24621">
      <w:pPr>
        <w:jc w:val="both"/>
        <w:rPr>
          <w:b/>
        </w:rPr>
      </w:pPr>
    </w:p>
    <w:p w:rsidR="00B24621" w:rsidRDefault="00B24621" w:rsidP="00B24621">
      <w:pPr>
        <w:pStyle w:val="Heading3"/>
        <w:jc w:val="both"/>
      </w:pPr>
      <w:bookmarkStart w:id="10" w:name="_Toc511540808"/>
      <w:bookmarkStart w:id="11" w:name="_Toc78189085"/>
      <w:r>
        <w:t>Example</w:t>
      </w:r>
      <w:bookmarkEnd w:id="10"/>
      <w:bookmarkEnd w:id="11"/>
      <w:r>
        <w:fldChar w:fldCharType="begin"/>
      </w:r>
      <w:r>
        <w:instrText xml:space="preserve"> XE "Friedman test:example" </w:instrText>
      </w:r>
      <w:r>
        <w:fldChar w:fldCharType="end"/>
      </w:r>
    </w:p>
    <w:p w:rsidR="00B24621" w:rsidRDefault="00B24621" w:rsidP="00B24621">
      <w:pPr>
        <w:jc w:val="both"/>
      </w:pPr>
    </w:p>
    <w:p w:rsidR="00B24621" w:rsidRDefault="00B24621" w:rsidP="00B24621">
      <w:pPr>
        <w:jc w:val="both"/>
      </w:pPr>
      <w:r>
        <w:t>The data for this example is taken from Rubin and Peter’s paper.  The Friedman test</w:t>
      </w:r>
      <w:r>
        <w:fldChar w:fldCharType="begin"/>
      </w:r>
      <w:r>
        <w:instrText xml:space="preserve"> XE "Friedman test" </w:instrText>
      </w:r>
      <w:r>
        <w:fldChar w:fldCharType="end"/>
      </w:r>
      <w:r>
        <w:t xml:space="preserve"> will be used to study whether or not hydralazine would relieve high blood pressure in the lungs.</w:t>
      </w:r>
    </w:p>
    <w:tbl>
      <w:tblPr>
        <w:tblW w:w="0" w:type="auto"/>
        <w:jc w:val="center"/>
        <w:tblLayout w:type="fixed"/>
        <w:tblLook w:val="0000" w:firstRow="0" w:lastRow="0" w:firstColumn="0" w:lastColumn="0" w:noHBand="0" w:noVBand="0"/>
      </w:tblPr>
      <w:tblGrid>
        <w:gridCol w:w="1186"/>
        <w:gridCol w:w="810"/>
        <w:gridCol w:w="812"/>
        <w:gridCol w:w="808"/>
        <w:gridCol w:w="812"/>
        <w:gridCol w:w="808"/>
        <w:gridCol w:w="899"/>
      </w:tblGrid>
      <w:tr w:rsidR="00B24621" w:rsidTr="00461797">
        <w:tblPrEx>
          <w:tblCellMar>
            <w:top w:w="0" w:type="dxa"/>
            <w:bottom w:w="0" w:type="dxa"/>
          </w:tblCellMar>
        </w:tblPrEx>
        <w:trPr>
          <w:cantSplit/>
          <w:jc w:val="center"/>
        </w:trPr>
        <w:tc>
          <w:tcPr>
            <w:tcW w:w="1186" w:type="dxa"/>
            <w:vMerge w:val="restart"/>
            <w:tcBorders>
              <w:top w:val="single" w:sz="12" w:space="0" w:color="auto"/>
            </w:tcBorders>
            <w:vAlign w:val="center"/>
          </w:tcPr>
          <w:p w:rsidR="00B24621" w:rsidRDefault="00B24621" w:rsidP="00461797">
            <w:pPr>
              <w:jc w:val="center"/>
            </w:pPr>
            <w:r>
              <w:t>Person</w:t>
            </w:r>
          </w:p>
        </w:tc>
        <w:tc>
          <w:tcPr>
            <w:tcW w:w="1622" w:type="dxa"/>
            <w:gridSpan w:val="2"/>
            <w:tcBorders>
              <w:top w:val="single" w:sz="12" w:space="0" w:color="auto"/>
              <w:bottom w:val="single" w:sz="8" w:space="0" w:color="auto"/>
            </w:tcBorders>
          </w:tcPr>
          <w:p w:rsidR="00B24621" w:rsidRDefault="00B24621" w:rsidP="00461797">
            <w:pPr>
              <w:jc w:val="center"/>
            </w:pPr>
            <w:r>
              <w:t>Before</w:t>
            </w:r>
          </w:p>
        </w:tc>
        <w:tc>
          <w:tcPr>
            <w:tcW w:w="1620" w:type="dxa"/>
            <w:gridSpan w:val="2"/>
            <w:tcBorders>
              <w:top w:val="single" w:sz="12" w:space="0" w:color="auto"/>
              <w:bottom w:val="single" w:sz="8" w:space="0" w:color="auto"/>
            </w:tcBorders>
          </w:tcPr>
          <w:p w:rsidR="00B24621" w:rsidRDefault="00B24621" w:rsidP="00461797">
            <w:pPr>
              <w:jc w:val="center"/>
            </w:pPr>
            <w:r>
              <w:t>48 hrs after</w:t>
            </w:r>
          </w:p>
        </w:tc>
        <w:tc>
          <w:tcPr>
            <w:tcW w:w="1707" w:type="dxa"/>
            <w:gridSpan w:val="2"/>
            <w:tcBorders>
              <w:top w:val="single" w:sz="12" w:space="0" w:color="auto"/>
              <w:bottom w:val="single" w:sz="8" w:space="0" w:color="auto"/>
            </w:tcBorders>
          </w:tcPr>
          <w:p w:rsidR="00B24621" w:rsidRDefault="00B24621" w:rsidP="00461797">
            <w:pPr>
              <w:jc w:val="center"/>
            </w:pPr>
            <w:r>
              <w:t>6 months after</w:t>
            </w:r>
          </w:p>
        </w:tc>
      </w:tr>
      <w:tr w:rsidR="00B24621" w:rsidTr="00461797">
        <w:tblPrEx>
          <w:tblCellMar>
            <w:top w:w="0" w:type="dxa"/>
            <w:bottom w:w="0" w:type="dxa"/>
          </w:tblCellMar>
        </w:tblPrEx>
        <w:trPr>
          <w:cantSplit/>
          <w:jc w:val="center"/>
        </w:trPr>
        <w:tc>
          <w:tcPr>
            <w:tcW w:w="1186" w:type="dxa"/>
            <w:vMerge/>
          </w:tcPr>
          <w:p w:rsidR="00B24621" w:rsidRDefault="00B24621" w:rsidP="00461797">
            <w:pPr>
              <w:jc w:val="center"/>
            </w:pPr>
          </w:p>
        </w:tc>
        <w:tc>
          <w:tcPr>
            <w:tcW w:w="810" w:type="dxa"/>
          </w:tcPr>
          <w:p w:rsidR="00B24621" w:rsidRDefault="00B24621" w:rsidP="00461797">
            <w:pPr>
              <w:jc w:val="center"/>
            </w:pPr>
            <w:r>
              <w:t>Units</w:t>
            </w:r>
          </w:p>
        </w:tc>
        <w:tc>
          <w:tcPr>
            <w:tcW w:w="812" w:type="dxa"/>
          </w:tcPr>
          <w:p w:rsidR="00B24621" w:rsidRDefault="00B24621" w:rsidP="00461797">
            <w:pPr>
              <w:jc w:val="center"/>
            </w:pPr>
            <w:r>
              <w:t>Rank</w:t>
            </w:r>
          </w:p>
        </w:tc>
        <w:tc>
          <w:tcPr>
            <w:tcW w:w="808" w:type="dxa"/>
          </w:tcPr>
          <w:p w:rsidR="00B24621" w:rsidRDefault="00B24621" w:rsidP="00461797">
            <w:pPr>
              <w:jc w:val="center"/>
            </w:pPr>
            <w:r>
              <w:t>Units</w:t>
            </w:r>
          </w:p>
        </w:tc>
        <w:tc>
          <w:tcPr>
            <w:tcW w:w="812" w:type="dxa"/>
          </w:tcPr>
          <w:p w:rsidR="00B24621" w:rsidRDefault="00B24621" w:rsidP="00461797">
            <w:pPr>
              <w:jc w:val="center"/>
            </w:pPr>
            <w:r>
              <w:t>Rank</w:t>
            </w:r>
          </w:p>
        </w:tc>
        <w:tc>
          <w:tcPr>
            <w:tcW w:w="808" w:type="dxa"/>
          </w:tcPr>
          <w:p w:rsidR="00B24621" w:rsidRDefault="00B24621" w:rsidP="00461797">
            <w:pPr>
              <w:jc w:val="center"/>
            </w:pPr>
            <w:r>
              <w:t>Units</w:t>
            </w:r>
          </w:p>
        </w:tc>
        <w:tc>
          <w:tcPr>
            <w:tcW w:w="899" w:type="dxa"/>
          </w:tcPr>
          <w:p w:rsidR="00B24621" w:rsidRDefault="00B24621" w:rsidP="00461797">
            <w:pPr>
              <w:jc w:val="center"/>
            </w:pPr>
            <w:r>
              <w:t>Rank</w:t>
            </w:r>
          </w:p>
        </w:tc>
      </w:tr>
      <w:tr w:rsidR="00B24621" w:rsidTr="00461797">
        <w:tblPrEx>
          <w:tblCellMar>
            <w:top w:w="0" w:type="dxa"/>
            <w:bottom w:w="0" w:type="dxa"/>
          </w:tblCellMar>
        </w:tblPrEx>
        <w:trPr>
          <w:jc w:val="center"/>
        </w:trPr>
        <w:tc>
          <w:tcPr>
            <w:tcW w:w="1186" w:type="dxa"/>
            <w:tcBorders>
              <w:top w:val="single" w:sz="8" w:space="0" w:color="auto"/>
            </w:tcBorders>
          </w:tcPr>
          <w:p w:rsidR="00B24621" w:rsidRDefault="00B24621" w:rsidP="00461797">
            <w:pPr>
              <w:jc w:val="center"/>
            </w:pPr>
            <w:r>
              <w:t>1</w:t>
            </w:r>
          </w:p>
        </w:tc>
        <w:tc>
          <w:tcPr>
            <w:tcW w:w="810" w:type="dxa"/>
            <w:tcBorders>
              <w:top w:val="single" w:sz="8" w:space="0" w:color="auto"/>
            </w:tcBorders>
          </w:tcPr>
          <w:p w:rsidR="00B24621" w:rsidRDefault="00B24621" w:rsidP="00461797">
            <w:pPr>
              <w:jc w:val="center"/>
            </w:pPr>
            <w:r>
              <w:t>22.2</w:t>
            </w:r>
          </w:p>
        </w:tc>
        <w:tc>
          <w:tcPr>
            <w:tcW w:w="812" w:type="dxa"/>
            <w:tcBorders>
              <w:top w:val="single" w:sz="8" w:space="0" w:color="auto"/>
            </w:tcBorders>
          </w:tcPr>
          <w:p w:rsidR="00B24621" w:rsidRDefault="00B24621" w:rsidP="00461797">
            <w:pPr>
              <w:jc w:val="center"/>
            </w:pPr>
            <w:r>
              <w:t>3</w:t>
            </w:r>
          </w:p>
        </w:tc>
        <w:tc>
          <w:tcPr>
            <w:tcW w:w="808" w:type="dxa"/>
            <w:tcBorders>
              <w:top w:val="single" w:sz="8" w:space="0" w:color="auto"/>
            </w:tcBorders>
          </w:tcPr>
          <w:p w:rsidR="00B24621" w:rsidRDefault="00B24621" w:rsidP="00461797">
            <w:pPr>
              <w:jc w:val="center"/>
            </w:pPr>
            <w:r>
              <w:t>5.4</w:t>
            </w:r>
          </w:p>
        </w:tc>
        <w:tc>
          <w:tcPr>
            <w:tcW w:w="812" w:type="dxa"/>
            <w:tcBorders>
              <w:top w:val="single" w:sz="8" w:space="0" w:color="auto"/>
            </w:tcBorders>
          </w:tcPr>
          <w:p w:rsidR="00B24621" w:rsidRDefault="00B24621" w:rsidP="00461797">
            <w:pPr>
              <w:jc w:val="center"/>
            </w:pPr>
            <w:r>
              <w:t>1</w:t>
            </w:r>
          </w:p>
        </w:tc>
        <w:tc>
          <w:tcPr>
            <w:tcW w:w="808" w:type="dxa"/>
            <w:tcBorders>
              <w:top w:val="single" w:sz="8" w:space="0" w:color="auto"/>
            </w:tcBorders>
          </w:tcPr>
          <w:p w:rsidR="00B24621" w:rsidRDefault="00B24621" w:rsidP="00461797">
            <w:pPr>
              <w:jc w:val="center"/>
            </w:pPr>
            <w:r>
              <w:t>10.6</w:t>
            </w:r>
          </w:p>
        </w:tc>
        <w:tc>
          <w:tcPr>
            <w:tcW w:w="899" w:type="dxa"/>
            <w:tcBorders>
              <w:top w:val="single" w:sz="8" w:space="0" w:color="auto"/>
            </w:tcBorders>
          </w:tcPr>
          <w:p w:rsidR="00B24621" w:rsidRDefault="00B24621" w:rsidP="00461797">
            <w:pPr>
              <w:jc w:val="center"/>
            </w:pPr>
            <w:r>
              <w:t>2</w:t>
            </w:r>
          </w:p>
        </w:tc>
      </w:tr>
      <w:tr w:rsidR="00B24621" w:rsidTr="00461797">
        <w:tblPrEx>
          <w:tblCellMar>
            <w:top w:w="0" w:type="dxa"/>
            <w:bottom w:w="0" w:type="dxa"/>
          </w:tblCellMar>
        </w:tblPrEx>
        <w:trPr>
          <w:jc w:val="center"/>
        </w:trPr>
        <w:tc>
          <w:tcPr>
            <w:tcW w:w="1186" w:type="dxa"/>
          </w:tcPr>
          <w:p w:rsidR="00B24621" w:rsidRDefault="00B24621" w:rsidP="00461797">
            <w:pPr>
              <w:jc w:val="center"/>
            </w:pPr>
            <w:r>
              <w:t>2</w:t>
            </w:r>
          </w:p>
        </w:tc>
        <w:tc>
          <w:tcPr>
            <w:tcW w:w="810" w:type="dxa"/>
          </w:tcPr>
          <w:p w:rsidR="00B24621" w:rsidRDefault="00B24621" w:rsidP="00461797">
            <w:pPr>
              <w:jc w:val="center"/>
            </w:pPr>
            <w:r>
              <w:t>17.0</w:t>
            </w:r>
          </w:p>
        </w:tc>
        <w:tc>
          <w:tcPr>
            <w:tcW w:w="812" w:type="dxa"/>
          </w:tcPr>
          <w:p w:rsidR="00B24621" w:rsidRDefault="00B24621" w:rsidP="00461797">
            <w:pPr>
              <w:jc w:val="center"/>
            </w:pPr>
            <w:r>
              <w:t>3</w:t>
            </w:r>
          </w:p>
        </w:tc>
        <w:tc>
          <w:tcPr>
            <w:tcW w:w="808" w:type="dxa"/>
          </w:tcPr>
          <w:p w:rsidR="00B24621" w:rsidRDefault="00B24621" w:rsidP="00461797">
            <w:pPr>
              <w:jc w:val="center"/>
            </w:pPr>
            <w:r>
              <w:t>6.3</w:t>
            </w:r>
          </w:p>
        </w:tc>
        <w:tc>
          <w:tcPr>
            <w:tcW w:w="812" w:type="dxa"/>
          </w:tcPr>
          <w:p w:rsidR="00B24621" w:rsidRDefault="00B24621" w:rsidP="00461797">
            <w:pPr>
              <w:jc w:val="center"/>
            </w:pPr>
            <w:r>
              <w:t>2</w:t>
            </w:r>
          </w:p>
        </w:tc>
        <w:tc>
          <w:tcPr>
            <w:tcW w:w="808" w:type="dxa"/>
          </w:tcPr>
          <w:p w:rsidR="00B24621" w:rsidRDefault="00B24621" w:rsidP="00461797">
            <w:pPr>
              <w:jc w:val="center"/>
            </w:pPr>
            <w:r>
              <w:t>6.2</w:t>
            </w:r>
          </w:p>
        </w:tc>
        <w:tc>
          <w:tcPr>
            <w:tcW w:w="899" w:type="dxa"/>
          </w:tcPr>
          <w:p w:rsidR="00B24621" w:rsidRDefault="00B24621" w:rsidP="00461797">
            <w:pPr>
              <w:jc w:val="center"/>
            </w:pPr>
            <w:r>
              <w:t>1</w:t>
            </w:r>
          </w:p>
        </w:tc>
      </w:tr>
      <w:tr w:rsidR="00B24621" w:rsidTr="00461797">
        <w:tblPrEx>
          <w:tblCellMar>
            <w:top w:w="0" w:type="dxa"/>
            <w:bottom w:w="0" w:type="dxa"/>
          </w:tblCellMar>
        </w:tblPrEx>
        <w:trPr>
          <w:jc w:val="center"/>
        </w:trPr>
        <w:tc>
          <w:tcPr>
            <w:tcW w:w="1186" w:type="dxa"/>
          </w:tcPr>
          <w:p w:rsidR="00B24621" w:rsidRDefault="00B24621" w:rsidP="00461797">
            <w:pPr>
              <w:jc w:val="center"/>
            </w:pPr>
            <w:r>
              <w:t>3</w:t>
            </w:r>
          </w:p>
        </w:tc>
        <w:tc>
          <w:tcPr>
            <w:tcW w:w="810" w:type="dxa"/>
          </w:tcPr>
          <w:p w:rsidR="00B24621" w:rsidRDefault="00B24621" w:rsidP="00461797">
            <w:pPr>
              <w:jc w:val="center"/>
            </w:pPr>
            <w:r>
              <w:t>14.1</w:t>
            </w:r>
          </w:p>
        </w:tc>
        <w:tc>
          <w:tcPr>
            <w:tcW w:w="812" w:type="dxa"/>
          </w:tcPr>
          <w:p w:rsidR="00B24621" w:rsidRDefault="00B24621" w:rsidP="00461797">
            <w:pPr>
              <w:jc w:val="center"/>
            </w:pPr>
            <w:r>
              <w:t>3</w:t>
            </w:r>
          </w:p>
        </w:tc>
        <w:tc>
          <w:tcPr>
            <w:tcW w:w="808" w:type="dxa"/>
          </w:tcPr>
          <w:p w:rsidR="00B24621" w:rsidRDefault="00B24621" w:rsidP="00461797">
            <w:pPr>
              <w:jc w:val="center"/>
            </w:pPr>
            <w:r>
              <w:t>8.5</w:t>
            </w:r>
          </w:p>
        </w:tc>
        <w:tc>
          <w:tcPr>
            <w:tcW w:w="812" w:type="dxa"/>
          </w:tcPr>
          <w:p w:rsidR="00B24621" w:rsidRDefault="00B24621" w:rsidP="00461797">
            <w:pPr>
              <w:jc w:val="center"/>
            </w:pPr>
            <w:r>
              <w:t>1</w:t>
            </w:r>
          </w:p>
        </w:tc>
        <w:tc>
          <w:tcPr>
            <w:tcW w:w="808" w:type="dxa"/>
          </w:tcPr>
          <w:p w:rsidR="00B24621" w:rsidRDefault="00B24621" w:rsidP="00461797">
            <w:pPr>
              <w:jc w:val="center"/>
            </w:pPr>
            <w:r>
              <w:t>9.3</w:t>
            </w:r>
          </w:p>
        </w:tc>
        <w:tc>
          <w:tcPr>
            <w:tcW w:w="899" w:type="dxa"/>
          </w:tcPr>
          <w:p w:rsidR="00B24621" w:rsidRDefault="00B24621" w:rsidP="00461797">
            <w:pPr>
              <w:jc w:val="center"/>
            </w:pPr>
            <w:r>
              <w:t>2</w:t>
            </w:r>
          </w:p>
        </w:tc>
      </w:tr>
      <w:tr w:rsidR="00B24621" w:rsidTr="00461797">
        <w:tblPrEx>
          <w:tblCellMar>
            <w:top w:w="0" w:type="dxa"/>
            <w:bottom w:w="0" w:type="dxa"/>
          </w:tblCellMar>
        </w:tblPrEx>
        <w:trPr>
          <w:jc w:val="center"/>
        </w:trPr>
        <w:tc>
          <w:tcPr>
            <w:tcW w:w="1186" w:type="dxa"/>
          </w:tcPr>
          <w:p w:rsidR="00B24621" w:rsidRDefault="00B24621" w:rsidP="00461797">
            <w:pPr>
              <w:jc w:val="center"/>
            </w:pPr>
            <w:r>
              <w:t>4</w:t>
            </w:r>
          </w:p>
        </w:tc>
        <w:tc>
          <w:tcPr>
            <w:tcW w:w="810" w:type="dxa"/>
          </w:tcPr>
          <w:p w:rsidR="00B24621" w:rsidRDefault="00B24621" w:rsidP="00461797">
            <w:pPr>
              <w:jc w:val="center"/>
            </w:pPr>
            <w:r>
              <w:t>17.0</w:t>
            </w:r>
          </w:p>
        </w:tc>
        <w:tc>
          <w:tcPr>
            <w:tcW w:w="812" w:type="dxa"/>
          </w:tcPr>
          <w:p w:rsidR="00B24621" w:rsidRDefault="00B24621" w:rsidP="00461797">
            <w:pPr>
              <w:jc w:val="center"/>
            </w:pPr>
            <w:r>
              <w:t>3</w:t>
            </w:r>
          </w:p>
        </w:tc>
        <w:tc>
          <w:tcPr>
            <w:tcW w:w="808" w:type="dxa"/>
          </w:tcPr>
          <w:p w:rsidR="00B24621" w:rsidRDefault="00B24621" w:rsidP="00461797">
            <w:pPr>
              <w:jc w:val="center"/>
            </w:pPr>
            <w:r>
              <w:t>10.7</w:t>
            </w:r>
          </w:p>
        </w:tc>
        <w:tc>
          <w:tcPr>
            <w:tcW w:w="812" w:type="dxa"/>
          </w:tcPr>
          <w:p w:rsidR="00B24621" w:rsidRDefault="00B24621" w:rsidP="00461797">
            <w:pPr>
              <w:jc w:val="center"/>
            </w:pPr>
            <w:r>
              <w:t>1</w:t>
            </w:r>
          </w:p>
        </w:tc>
        <w:tc>
          <w:tcPr>
            <w:tcW w:w="808" w:type="dxa"/>
          </w:tcPr>
          <w:p w:rsidR="00B24621" w:rsidRDefault="00B24621" w:rsidP="00461797">
            <w:pPr>
              <w:jc w:val="center"/>
            </w:pPr>
            <w:r>
              <w:t>12.3</w:t>
            </w:r>
          </w:p>
        </w:tc>
        <w:tc>
          <w:tcPr>
            <w:tcW w:w="899" w:type="dxa"/>
          </w:tcPr>
          <w:p w:rsidR="00B24621" w:rsidRDefault="00B24621" w:rsidP="00461797">
            <w:pPr>
              <w:jc w:val="center"/>
            </w:pPr>
            <w:r>
              <w:t>2</w:t>
            </w:r>
          </w:p>
        </w:tc>
      </w:tr>
      <w:tr w:rsidR="00B24621" w:rsidTr="00461797">
        <w:tblPrEx>
          <w:tblCellMar>
            <w:top w:w="0" w:type="dxa"/>
            <w:bottom w:w="0" w:type="dxa"/>
          </w:tblCellMar>
        </w:tblPrEx>
        <w:trPr>
          <w:jc w:val="center"/>
        </w:trPr>
        <w:tc>
          <w:tcPr>
            <w:tcW w:w="1186" w:type="dxa"/>
            <w:tcBorders>
              <w:top w:val="single" w:sz="8" w:space="0" w:color="auto"/>
              <w:bottom w:val="single" w:sz="12" w:space="0" w:color="auto"/>
            </w:tcBorders>
          </w:tcPr>
          <w:p w:rsidR="00B24621" w:rsidRDefault="00B24621" w:rsidP="00461797">
            <w:pPr>
              <w:jc w:val="center"/>
            </w:pPr>
            <w:r>
              <w:t>Rank sum</w:t>
            </w:r>
          </w:p>
        </w:tc>
        <w:tc>
          <w:tcPr>
            <w:tcW w:w="810" w:type="dxa"/>
            <w:tcBorders>
              <w:top w:val="single" w:sz="8" w:space="0" w:color="auto"/>
              <w:bottom w:val="single" w:sz="12" w:space="0" w:color="auto"/>
            </w:tcBorders>
          </w:tcPr>
          <w:p w:rsidR="00B24621" w:rsidRDefault="00B24621" w:rsidP="00461797">
            <w:pPr>
              <w:jc w:val="center"/>
            </w:pPr>
            <w:r>
              <w:t>-</w:t>
            </w:r>
          </w:p>
        </w:tc>
        <w:tc>
          <w:tcPr>
            <w:tcW w:w="812" w:type="dxa"/>
            <w:tcBorders>
              <w:top w:val="single" w:sz="8" w:space="0" w:color="auto"/>
              <w:bottom w:val="single" w:sz="12" w:space="0" w:color="auto"/>
            </w:tcBorders>
          </w:tcPr>
          <w:p w:rsidR="00B24621" w:rsidRDefault="00B24621" w:rsidP="00461797">
            <w:pPr>
              <w:jc w:val="center"/>
            </w:pPr>
            <w:r>
              <w:t>12</w:t>
            </w:r>
          </w:p>
        </w:tc>
        <w:tc>
          <w:tcPr>
            <w:tcW w:w="808" w:type="dxa"/>
            <w:tcBorders>
              <w:top w:val="single" w:sz="8" w:space="0" w:color="auto"/>
              <w:bottom w:val="single" w:sz="12" w:space="0" w:color="auto"/>
            </w:tcBorders>
          </w:tcPr>
          <w:p w:rsidR="00B24621" w:rsidRDefault="00B24621" w:rsidP="00461797">
            <w:pPr>
              <w:jc w:val="center"/>
            </w:pPr>
            <w:r>
              <w:t>-</w:t>
            </w:r>
          </w:p>
        </w:tc>
        <w:tc>
          <w:tcPr>
            <w:tcW w:w="812" w:type="dxa"/>
            <w:tcBorders>
              <w:top w:val="single" w:sz="8" w:space="0" w:color="auto"/>
              <w:bottom w:val="single" w:sz="12" w:space="0" w:color="auto"/>
            </w:tcBorders>
          </w:tcPr>
          <w:p w:rsidR="00B24621" w:rsidRDefault="00B24621" w:rsidP="00461797">
            <w:pPr>
              <w:jc w:val="center"/>
            </w:pPr>
            <w:r>
              <w:t>5</w:t>
            </w:r>
          </w:p>
        </w:tc>
        <w:tc>
          <w:tcPr>
            <w:tcW w:w="808" w:type="dxa"/>
            <w:tcBorders>
              <w:top w:val="single" w:sz="8" w:space="0" w:color="auto"/>
              <w:bottom w:val="single" w:sz="12" w:space="0" w:color="auto"/>
            </w:tcBorders>
          </w:tcPr>
          <w:p w:rsidR="00B24621" w:rsidRDefault="00B24621" w:rsidP="00461797">
            <w:pPr>
              <w:jc w:val="center"/>
            </w:pPr>
            <w:r>
              <w:t>-</w:t>
            </w:r>
          </w:p>
        </w:tc>
        <w:tc>
          <w:tcPr>
            <w:tcW w:w="899" w:type="dxa"/>
            <w:tcBorders>
              <w:top w:val="single" w:sz="8" w:space="0" w:color="auto"/>
              <w:bottom w:val="single" w:sz="12" w:space="0" w:color="auto"/>
            </w:tcBorders>
          </w:tcPr>
          <w:p w:rsidR="00B24621" w:rsidRDefault="00B24621" w:rsidP="00461797">
            <w:pPr>
              <w:jc w:val="center"/>
            </w:pPr>
            <w:r>
              <w:t>7</w:t>
            </w:r>
          </w:p>
        </w:tc>
      </w:tr>
    </w:tbl>
    <w:p w:rsidR="00B24621" w:rsidRDefault="00B24621" w:rsidP="00B24621">
      <w:pPr>
        <w:jc w:val="center"/>
      </w:pPr>
      <w:r>
        <w:rPr>
          <w:b/>
        </w:rPr>
        <w:t>Table 7.1</w:t>
      </w:r>
      <w:r>
        <w:t xml:space="preserve"> </w:t>
      </w:r>
      <w:proofErr w:type="gramStart"/>
      <w:r>
        <w:t>Total pulmonary resistance</w:t>
      </w:r>
      <w:proofErr w:type="gramEnd"/>
      <w:r>
        <w:t xml:space="preserve"> before and after hydralazine</w:t>
      </w:r>
    </w:p>
    <w:p w:rsidR="00B24621" w:rsidRDefault="00B24621" w:rsidP="00B24621">
      <w:pPr>
        <w:jc w:val="center"/>
      </w:pPr>
    </w:p>
    <w:p w:rsidR="00B24621" w:rsidRDefault="00B24621" w:rsidP="00B24621">
      <w:pPr>
        <w:jc w:val="center"/>
      </w:pPr>
      <w:r>
        <w:rPr>
          <w:position w:val="-28"/>
        </w:rPr>
        <w:object w:dxaOrig="5000" w:dyaOrig="660">
          <v:shape id="_x0000_i1026" type="#_x0000_t75" style="width:250pt;height:33pt" o:ole="" fillcolor="window">
            <v:imagedata r:id="rId8" o:title=""/>
          </v:shape>
          <o:OLEObject Type="Embed" ProgID="Equation.DSMT4" ShapeID="_x0000_i1026" DrawAspect="Content" ObjectID="_1378197530" r:id="rId9"/>
        </w:object>
      </w:r>
      <w:r>
        <w:t>.</w:t>
      </w:r>
    </w:p>
    <w:p w:rsidR="00B24621" w:rsidRDefault="00B24621" w:rsidP="00B24621">
      <w:pPr>
        <w:jc w:val="both"/>
      </w:pPr>
    </w:p>
    <w:p w:rsidR="00B24621" w:rsidRDefault="00B24621" w:rsidP="00B24621">
      <w:pPr>
        <w:jc w:val="both"/>
      </w:pPr>
      <w:r>
        <w:t>As 6.5 is the same as the value in the table there is sufficient evidence to reject the null hypothesis</w:t>
      </w:r>
      <w:r>
        <w:fldChar w:fldCharType="begin"/>
      </w:r>
      <w:r>
        <w:instrText xml:space="preserve"> XE "Null hypothesis" </w:instrText>
      </w:r>
      <w:r>
        <w:fldChar w:fldCharType="end"/>
      </w:r>
      <w:r>
        <w:t xml:space="preserve"> and conclude that at least one group is different from the others.</w:t>
      </w:r>
    </w:p>
    <w:p w:rsidR="00B24621" w:rsidRDefault="00B24621" w:rsidP="00B24621">
      <w:pPr>
        <w:jc w:val="both"/>
      </w:pPr>
    </w:p>
    <w:p w:rsidR="00B24621" w:rsidRDefault="00B24621" w:rsidP="00B24621">
      <w:pPr>
        <w:jc w:val="both"/>
      </w:pPr>
    </w:p>
    <w:p w:rsidR="00B24621" w:rsidRDefault="00B24621" w:rsidP="00B24621">
      <w:pPr>
        <w:pStyle w:val="Heading3"/>
        <w:jc w:val="both"/>
      </w:pPr>
      <w:bookmarkStart w:id="12" w:name="_Toc511540809"/>
      <w:bookmarkStart w:id="13" w:name="_Toc78189086"/>
      <w:r>
        <w:t>Post hoc testing</w:t>
      </w:r>
      <w:bookmarkEnd w:id="12"/>
      <w:bookmarkEnd w:id="13"/>
      <w:r>
        <w:fldChar w:fldCharType="begin"/>
      </w:r>
      <w:r>
        <w:instrText xml:space="preserve"> XE "Friedman test:post hoc testing" </w:instrText>
      </w:r>
      <w:r>
        <w:fldChar w:fldCharType="end"/>
      </w:r>
    </w:p>
    <w:p w:rsidR="00B24621" w:rsidRDefault="00B24621" w:rsidP="00B24621">
      <w:pPr>
        <w:jc w:val="both"/>
      </w:pPr>
    </w:p>
    <w:p w:rsidR="00B24621" w:rsidRDefault="00B24621" w:rsidP="00B24621">
      <w:pPr>
        <w:pStyle w:val="Heading4"/>
        <w:jc w:val="both"/>
      </w:pPr>
      <w:bookmarkStart w:id="14" w:name="_Toc511540810"/>
      <w:bookmarkStart w:id="15" w:name="_Toc48464915"/>
      <w:bookmarkStart w:id="16" w:name="_Toc48466004"/>
      <w:bookmarkStart w:id="17" w:name="_Toc48472472"/>
      <w:bookmarkStart w:id="18" w:name="_Toc48539532"/>
      <w:bookmarkStart w:id="19" w:name="_Toc48539751"/>
      <w:bookmarkStart w:id="20" w:name="_Toc48543803"/>
      <w:bookmarkStart w:id="21" w:name="_Toc64969269"/>
      <w:bookmarkStart w:id="22" w:name="_Toc78189087"/>
      <w:r>
        <w:t>Method 1</w:t>
      </w:r>
      <w:bookmarkEnd w:id="14"/>
      <w:bookmarkEnd w:id="15"/>
      <w:bookmarkEnd w:id="16"/>
      <w:bookmarkEnd w:id="17"/>
      <w:bookmarkEnd w:id="18"/>
      <w:bookmarkEnd w:id="19"/>
      <w:bookmarkEnd w:id="20"/>
      <w:bookmarkEnd w:id="21"/>
      <w:bookmarkEnd w:id="22"/>
    </w:p>
    <w:p w:rsidR="00B24621" w:rsidRDefault="00B24621" w:rsidP="00B24621">
      <w:pPr>
        <w:jc w:val="both"/>
      </w:pPr>
    </w:p>
    <w:p w:rsidR="00B24621" w:rsidRDefault="00B24621" w:rsidP="00B24621">
      <w:pPr>
        <w:jc w:val="both"/>
      </w:pPr>
      <w:r>
        <w:t>If the Friedman test</w:t>
      </w:r>
      <w:r>
        <w:fldChar w:fldCharType="begin"/>
      </w:r>
      <w:r>
        <w:instrText xml:space="preserve"> XE "Friedman test" </w:instrText>
      </w:r>
      <w:r>
        <w:fldChar w:fldCharType="end"/>
      </w:r>
      <w:r>
        <w:t xml:space="preserve"> shows that there is a difference in medians</w:t>
      </w:r>
      <w:r>
        <w:fldChar w:fldCharType="begin"/>
      </w:r>
      <w:r>
        <w:instrText xml:space="preserve"> XE "Medians" </w:instrText>
      </w:r>
      <w:r>
        <w:fldChar w:fldCharType="end"/>
      </w:r>
      <w:r>
        <w:t xml:space="preserve"> in the groups it is possible to carry out post hoc testing to see which groups there is actually a difference between.  This is done by comparing average ranks</w:t>
      </w:r>
      <w:r>
        <w:fldChar w:fldCharType="begin"/>
      </w:r>
      <w:r>
        <w:instrText xml:space="preserve"> XE "Ranks" </w:instrText>
      </w:r>
      <w:r>
        <w:fldChar w:fldCharType="end"/>
      </w:r>
      <w:r>
        <w:t xml:space="preserve"> in all the pairs or comparing to baseline.  The null hypothesis</w:t>
      </w:r>
      <w:r>
        <w:fldChar w:fldCharType="begin"/>
      </w:r>
      <w:r>
        <w:instrText xml:space="preserve"> XE "Null hypothesis" </w:instrText>
      </w:r>
      <w:r>
        <w:fldChar w:fldCharType="end"/>
      </w:r>
      <w:r>
        <w:t xml:space="preserve"> that there is no difference in mean ranks</w:t>
      </w:r>
      <w:r>
        <w:fldChar w:fldCharType="begin"/>
      </w:r>
      <w:r>
        <w:instrText xml:space="preserve"> XE "Ranks" </w:instrText>
      </w:r>
      <w:r>
        <w:fldChar w:fldCharType="end"/>
      </w:r>
      <w:r>
        <w:t xml:space="preserve"> between the pairs will be rejected if the absolute value of these differences is greater than a specified critical value.  If the following condition holds, the null hypothesis will be rejected:</w:t>
      </w:r>
    </w:p>
    <w:p w:rsidR="00B24621" w:rsidRDefault="00B24621" w:rsidP="00B24621">
      <w:pPr>
        <w:jc w:val="center"/>
      </w:pPr>
      <w:r>
        <w:rPr>
          <w:position w:val="-26"/>
        </w:rPr>
        <w:object w:dxaOrig="2880" w:dyaOrig="700">
          <v:shape id="_x0000_i1027" type="#_x0000_t75" style="width:2in;height:35pt" o:ole="" fillcolor="window">
            <v:imagedata r:id="rId10" o:title=""/>
          </v:shape>
          <o:OLEObject Type="Embed" ProgID="Equation.DSMT4" ShapeID="_x0000_i1027" DrawAspect="Content" ObjectID="_1378197531" r:id="rId11"/>
        </w:object>
      </w:r>
    </w:p>
    <w:p w:rsidR="00B24621" w:rsidRDefault="00B24621" w:rsidP="00B24621">
      <w:pPr>
        <w:jc w:val="both"/>
      </w:pPr>
    </w:p>
    <w:p w:rsidR="00B24621" w:rsidRDefault="00B24621" w:rsidP="00B24621">
      <w:pPr>
        <w:jc w:val="both"/>
      </w:pPr>
      <w:proofErr w:type="gramStart"/>
      <w:r>
        <w:t>where</w:t>
      </w:r>
      <w:proofErr w:type="gramEnd"/>
      <w:r>
        <w:t>,</w:t>
      </w:r>
    </w:p>
    <w:p w:rsidR="00B24621" w:rsidRDefault="00B24621" w:rsidP="00B24621">
      <w:pPr>
        <w:ind w:left="360"/>
      </w:pPr>
      <w:r>
        <w:rPr>
          <w:position w:val="-12"/>
        </w:rPr>
        <w:object w:dxaOrig="260" w:dyaOrig="380">
          <v:shape id="_x0000_i1028" type="#_x0000_t75" style="width:13pt;height:19pt" o:ole="">
            <v:imagedata r:id="rId12" o:title=""/>
          </v:shape>
          <o:OLEObject Type="Embed" ProgID="Equation.DSMT4" ShapeID="_x0000_i1028" DrawAspect="Content" ObjectID="_1378197532" r:id="rId13"/>
        </w:object>
      </w:r>
      <w:r>
        <w:t xml:space="preserve"> = </w:t>
      </w:r>
      <w:proofErr w:type="gramStart"/>
      <w:r>
        <w:t>the</w:t>
      </w:r>
      <w:proofErr w:type="gramEnd"/>
      <w:r>
        <w:t xml:space="preserve"> mean rank in period or condition </w:t>
      </w:r>
      <w:r>
        <w:rPr>
          <w:i/>
          <w:iCs/>
        </w:rPr>
        <w:t>i</w:t>
      </w:r>
    </w:p>
    <w:p w:rsidR="00B24621" w:rsidRDefault="00B24621" w:rsidP="00B24621">
      <w:pPr>
        <w:ind w:left="360"/>
        <w:rPr>
          <w:i/>
          <w:iCs/>
        </w:rPr>
      </w:pPr>
      <w:r>
        <w:rPr>
          <w:position w:val="-14"/>
        </w:rPr>
        <w:object w:dxaOrig="300" w:dyaOrig="400">
          <v:shape id="_x0000_i1029" type="#_x0000_t75" style="width:15pt;height:20pt" o:ole="">
            <v:imagedata r:id="rId14" o:title=""/>
          </v:shape>
          <o:OLEObject Type="Embed" ProgID="Equation.DSMT4" ShapeID="_x0000_i1029" DrawAspect="Content" ObjectID="_1378197533" r:id="rId15"/>
        </w:object>
      </w:r>
      <w:r>
        <w:t xml:space="preserve">= </w:t>
      </w:r>
      <w:proofErr w:type="gramStart"/>
      <w:r>
        <w:t>the</w:t>
      </w:r>
      <w:proofErr w:type="gramEnd"/>
      <w:r>
        <w:t xml:space="preserve"> mean rank in period or condition  </w:t>
      </w:r>
      <w:r>
        <w:rPr>
          <w:i/>
          <w:iCs/>
        </w:rPr>
        <w:t>j</w:t>
      </w:r>
    </w:p>
    <w:p w:rsidR="00B24621" w:rsidRDefault="00B24621" w:rsidP="00B24621">
      <w:pPr>
        <w:ind w:left="360"/>
      </w:pPr>
      <w:r>
        <w:rPr>
          <w:i/>
          <w:iCs/>
        </w:rPr>
        <w:t>Z</w:t>
      </w:r>
      <w:r>
        <w:rPr>
          <w:i/>
          <w:iCs/>
          <w:vertAlign w:val="subscript"/>
        </w:rPr>
        <w:sym w:font="Symbol" w:char="F061"/>
      </w:r>
      <w:r>
        <w:rPr>
          <w:i/>
          <w:iCs/>
          <w:vertAlign w:val="subscript"/>
        </w:rPr>
        <w:t>’</w:t>
      </w:r>
      <w:r>
        <w:t xml:space="preserve">= the critical z value for </w:t>
      </w:r>
      <w:r>
        <w:sym w:font="Symbol" w:char="F061"/>
      </w:r>
      <w:r>
        <w:t>’</w:t>
      </w:r>
    </w:p>
    <w:p w:rsidR="00B24621" w:rsidRDefault="00B24621" w:rsidP="00B24621">
      <w:pPr>
        <w:ind w:left="360"/>
      </w:pPr>
      <w:r>
        <w:rPr>
          <w:i/>
          <w:iCs/>
        </w:rPr>
        <w:sym w:font="Symbol" w:char="F061"/>
      </w:r>
      <w:r>
        <w:rPr>
          <w:i/>
          <w:iCs/>
        </w:rPr>
        <w:t xml:space="preserve">’ = </w:t>
      </w:r>
      <w:r>
        <w:rPr>
          <w:i/>
          <w:iCs/>
        </w:rPr>
        <w:sym w:font="Symbol" w:char="F061"/>
      </w:r>
      <w:r>
        <w:rPr>
          <w:i/>
          <w:iCs/>
        </w:rPr>
        <w:t>/[</w:t>
      </w:r>
      <w:proofErr w:type="gramStart"/>
      <w:r>
        <w:rPr>
          <w:i/>
          <w:iCs/>
        </w:rPr>
        <w:t>k</w:t>
      </w:r>
      <w:proofErr w:type="gramEnd"/>
      <w:r>
        <w:rPr>
          <w:i/>
          <w:iCs/>
        </w:rPr>
        <w:t>(k-1)]</w:t>
      </w:r>
    </w:p>
    <w:p w:rsidR="00B24621" w:rsidRDefault="00B24621" w:rsidP="00B24621">
      <w:pPr>
        <w:ind w:firstLine="360"/>
      </w:pPr>
      <w:r>
        <w:rPr>
          <w:i/>
          <w:iCs/>
        </w:rPr>
        <w:t xml:space="preserve"> </w:t>
      </w:r>
      <w:proofErr w:type="gramStart"/>
      <w:r>
        <w:rPr>
          <w:i/>
          <w:iCs/>
        </w:rPr>
        <w:t>k</w:t>
      </w:r>
      <w:proofErr w:type="gramEnd"/>
      <w:r>
        <w:t xml:space="preserve"> = the number of periods or conditions</w:t>
      </w:r>
    </w:p>
    <w:p w:rsidR="00B24621" w:rsidRDefault="00B24621" w:rsidP="00B24621">
      <w:pPr>
        <w:ind w:left="360"/>
      </w:pPr>
      <w:r>
        <w:rPr>
          <w:i/>
          <w:iCs/>
        </w:rPr>
        <w:t xml:space="preserve">N </w:t>
      </w:r>
      <w:r>
        <w:t>= the number of subjects</w:t>
      </w:r>
    </w:p>
    <w:p w:rsidR="00B24621" w:rsidRDefault="00B24621" w:rsidP="00B24621">
      <w:pPr>
        <w:jc w:val="both"/>
      </w:pPr>
    </w:p>
    <w:p w:rsidR="00B24621" w:rsidRDefault="00B24621" w:rsidP="00B24621">
      <w:pPr>
        <w:tabs>
          <w:tab w:val="left" w:pos="720"/>
          <w:tab w:val="left" w:pos="6480"/>
        </w:tabs>
        <w:jc w:val="both"/>
      </w:pPr>
      <w:r>
        <w:t>In the example above, the average ranks</w:t>
      </w:r>
      <w:r>
        <w:fldChar w:fldCharType="begin"/>
      </w:r>
      <w:r>
        <w:instrText xml:space="preserve"> XE "Ranks" </w:instrText>
      </w:r>
      <w:r>
        <w:fldChar w:fldCharType="end"/>
      </w:r>
      <w:r>
        <w:t xml:space="preserve"> for the three time points are 3, 1.25 and 1.75.  Since </w:t>
      </w:r>
      <w:r>
        <w:rPr>
          <w:i/>
        </w:rPr>
        <w:t>k</w:t>
      </w:r>
      <w:r>
        <w:t xml:space="preserve">= 3 and </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rPr>
          <w:rFonts w:ascii="Symbol" w:hAnsi="Symbol"/>
        </w:rPr>
        <w:t></w:t>
      </w:r>
      <w:r>
        <w:t xml:space="preserve">the critical value of the </w:t>
      </w:r>
      <w:r>
        <w:rPr>
          <w:i/>
        </w:rPr>
        <w:t>z</w:t>
      </w:r>
      <w:r>
        <w:t xml:space="preserve">-statistic is a </w:t>
      </w:r>
      <w:r>
        <w:rPr>
          <w:i/>
        </w:rPr>
        <w:t>z</w:t>
      </w:r>
      <w:r>
        <w:t xml:space="preserve"> for which </w:t>
      </w:r>
      <w:r>
        <w:rPr>
          <w:rFonts w:ascii="Symbol" w:hAnsi="Symbol"/>
        </w:rPr>
        <w:t></w:t>
      </w:r>
      <w:r>
        <w:sym w:font="Symbol" w:char="F0A2"/>
      </w:r>
      <w:r>
        <w:t xml:space="preserve"> = 0.05/3(2) = 0.0083.  Looking this value up in the normal tables gives </w:t>
      </w:r>
      <w:r>
        <w:rPr>
          <w:i/>
        </w:rPr>
        <w:t>z</w:t>
      </w:r>
      <w:r>
        <w:t xml:space="preserve"> = 2.39.  The critical value </w:t>
      </w:r>
    </w:p>
    <w:p w:rsidR="00B24621" w:rsidRDefault="00B24621" w:rsidP="00B24621">
      <w:pPr>
        <w:tabs>
          <w:tab w:val="left" w:pos="720"/>
          <w:tab w:val="left" w:pos="6480"/>
        </w:tabs>
        <w:jc w:val="both"/>
      </w:pPr>
    </w:p>
    <w:p w:rsidR="00B24621" w:rsidRDefault="00B24621" w:rsidP="00B24621">
      <w:pPr>
        <w:jc w:val="center"/>
      </w:pPr>
      <w:r>
        <w:rPr>
          <w:position w:val="-30"/>
        </w:rPr>
        <w:object w:dxaOrig="1760" w:dyaOrig="740">
          <v:shape id="_x0000_i1030" type="#_x0000_t75" style="width:88pt;height:37pt" o:ole="" fillcolor="window">
            <v:imagedata r:id="rId16" o:title=""/>
          </v:shape>
          <o:OLEObject Type="Embed" ProgID="Equation.DSMT4" ShapeID="_x0000_i1030" DrawAspect="Content" ObjectID="_1378197534" r:id="rId17"/>
        </w:object>
      </w:r>
    </w:p>
    <w:p w:rsidR="00B24621" w:rsidRDefault="00B24621" w:rsidP="00B24621">
      <w:pPr>
        <w:jc w:val="both"/>
      </w:pPr>
    </w:p>
    <w:p w:rsidR="00B24621" w:rsidRDefault="00B24621" w:rsidP="00B24621">
      <w:pPr>
        <w:jc w:val="both"/>
      </w:pPr>
      <w:r>
        <w:t>The absolute values of the three comparisons are:</w:t>
      </w:r>
    </w:p>
    <w:p w:rsidR="00B24621" w:rsidRDefault="00B24621" w:rsidP="00B24621">
      <w:pPr>
        <w:jc w:val="center"/>
      </w:pPr>
      <w:r>
        <w:rPr>
          <w:position w:val="-60"/>
        </w:rPr>
        <w:object w:dxaOrig="3400" w:dyaOrig="1320">
          <v:shape id="_x0000_i1031" type="#_x0000_t75" style="width:170pt;height:66pt" o:ole="" fillcolor="window">
            <v:imagedata r:id="rId18" o:title=""/>
          </v:shape>
          <o:OLEObject Type="Embed" ProgID="Equation.DSMT4" ShapeID="_x0000_i1031" DrawAspect="Content" ObjectID="_1378197535" r:id="rId19"/>
        </w:object>
      </w:r>
    </w:p>
    <w:p w:rsidR="00B24621" w:rsidRDefault="00B24621" w:rsidP="00B24621">
      <w:pPr>
        <w:jc w:val="both"/>
      </w:pPr>
    </w:p>
    <w:p w:rsidR="00B24621" w:rsidRDefault="00B24621" w:rsidP="00B24621">
      <w:pPr>
        <w:jc w:val="both"/>
      </w:pPr>
      <w:r>
        <w:t>The comparison between before treatment and 48 hours after treatment is the only one that is greater than the critical value of 1.68.  Therefore, we can conclude that according to the post hoc approach, hydralazine only relieves high blood pressure in the lungs 48 hours after the treatment.  This effect was not maintained 6 months after treatment.</w:t>
      </w:r>
    </w:p>
    <w:p w:rsidR="00B24621" w:rsidRDefault="00B24621" w:rsidP="00B24621">
      <w:pPr>
        <w:jc w:val="both"/>
      </w:pPr>
    </w:p>
    <w:p w:rsidR="00B24621" w:rsidRDefault="00B24621" w:rsidP="00B24621">
      <w:pPr>
        <w:jc w:val="both"/>
      </w:pPr>
    </w:p>
    <w:p w:rsidR="00B24621" w:rsidRDefault="00B24621" w:rsidP="00B24621">
      <w:pPr>
        <w:pStyle w:val="Heading4"/>
        <w:jc w:val="both"/>
      </w:pPr>
      <w:bookmarkStart w:id="23" w:name="_Toc511540811"/>
      <w:bookmarkStart w:id="24" w:name="_Toc48464916"/>
      <w:bookmarkStart w:id="25" w:name="_Toc48466005"/>
      <w:bookmarkStart w:id="26" w:name="_Toc48472473"/>
      <w:bookmarkStart w:id="27" w:name="_Toc48539533"/>
      <w:bookmarkStart w:id="28" w:name="_Toc48539752"/>
      <w:bookmarkStart w:id="29" w:name="_Toc48543804"/>
      <w:bookmarkStart w:id="30" w:name="_Toc64969270"/>
      <w:bookmarkStart w:id="31" w:name="_Toc78189088"/>
      <w:r>
        <w:t>Method 2</w:t>
      </w:r>
      <w:bookmarkEnd w:id="23"/>
      <w:bookmarkEnd w:id="24"/>
      <w:bookmarkEnd w:id="25"/>
      <w:bookmarkEnd w:id="26"/>
      <w:bookmarkEnd w:id="27"/>
      <w:bookmarkEnd w:id="28"/>
      <w:bookmarkEnd w:id="29"/>
      <w:bookmarkEnd w:id="30"/>
      <w:bookmarkEnd w:id="31"/>
    </w:p>
    <w:p w:rsidR="00B24621" w:rsidRDefault="00B24621" w:rsidP="00B24621">
      <w:pPr>
        <w:jc w:val="both"/>
      </w:pPr>
    </w:p>
    <w:p w:rsidR="00B24621" w:rsidRDefault="00B24621" w:rsidP="00B24621">
      <w:pPr>
        <w:jc w:val="both"/>
      </w:pPr>
      <w:r>
        <w:t xml:space="preserve">It is also possible to use the Wilcoxon ranked sign tests for post hoc testing.  The procedure is carried out in the same way as described before.  However, the Bonferroni correction must be applied to allow for multiple testing.  That is the critical value of </w:t>
      </w:r>
      <w:r>
        <w:rPr>
          <w:i/>
        </w:rPr>
        <w:sym w:font="Symbol" w:char="F061"/>
      </w:r>
      <w:r>
        <w:t xml:space="preserve"> becomes </w:t>
      </w:r>
      <w:r>
        <w:rPr>
          <w:i/>
        </w:rPr>
        <w:sym w:font="Symbol" w:char="F061"/>
      </w:r>
      <w:r>
        <w:rPr>
          <w:i/>
        </w:rPr>
        <w:sym w:font="Symbol" w:char="F0A2"/>
      </w:r>
      <w:r>
        <w:rPr>
          <w:i/>
        </w:rPr>
        <w:t>=</w:t>
      </w:r>
      <w:r>
        <w:rPr>
          <w:i/>
        </w:rPr>
        <w:sym w:font="Symbol" w:char="F061"/>
      </w:r>
      <w:r>
        <w:t>/</w:t>
      </w:r>
      <w:r>
        <w:rPr>
          <w:i/>
        </w:rPr>
        <w:t>k</w:t>
      </w:r>
      <w:r>
        <w:t xml:space="preserve">, where </w:t>
      </w:r>
      <w:r>
        <w:rPr>
          <w:i/>
        </w:rPr>
        <w:t>k</w:t>
      </w:r>
      <w:r>
        <w:t xml:space="preserve"> is the number of tests to be carried out and </w:t>
      </w:r>
      <w:r>
        <w:sym w:font="Symbol" w:char="F061"/>
      </w:r>
      <w:r>
        <w:t xml:space="preserve"> is the original significance level.  The value of </w:t>
      </w:r>
      <w:r>
        <w:sym w:font="Symbol" w:char="F061"/>
      </w:r>
      <w:r>
        <w:sym w:font="Symbol" w:char="F0A2"/>
      </w:r>
      <w:r>
        <w:t xml:space="preserve"> is the one looked at in the table or that the output </w:t>
      </w:r>
      <w:r>
        <w:rPr>
          <w:i/>
        </w:rPr>
        <w:t>p</w:t>
      </w:r>
      <w:r>
        <w:t>-value is compared against.</w:t>
      </w:r>
    </w:p>
    <w:p w:rsidR="00B24621" w:rsidRDefault="00B24621" w:rsidP="00B24621">
      <w:pPr>
        <w:jc w:val="both"/>
      </w:pPr>
    </w:p>
    <w:p w:rsidR="00B24621" w:rsidRDefault="00B24621" w:rsidP="00B24621">
      <w:pPr>
        <w:jc w:val="both"/>
      </w:pPr>
    </w:p>
    <w:p w:rsidR="00B24621" w:rsidRDefault="00B24621" w:rsidP="00B24621">
      <w:pPr>
        <w:pStyle w:val="Heading3"/>
        <w:jc w:val="both"/>
      </w:pPr>
      <w:bookmarkStart w:id="32" w:name="_Toc511540812"/>
      <w:bookmarkStart w:id="33" w:name="_Toc78189089"/>
      <w:r>
        <w:t>Presentation of the Results</w:t>
      </w:r>
      <w:bookmarkEnd w:id="32"/>
      <w:bookmarkEnd w:id="33"/>
      <w:r>
        <w:fldChar w:fldCharType="begin"/>
      </w:r>
      <w:r>
        <w:instrText xml:space="preserve"> XE "Friedman test:presentation of the results" </w:instrText>
      </w:r>
      <w:r>
        <w:fldChar w:fldCharType="end"/>
      </w:r>
    </w:p>
    <w:p w:rsidR="00B24621" w:rsidRDefault="00B24621" w:rsidP="00B24621">
      <w:pPr>
        <w:jc w:val="both"/>
      </w:pPr>
    </w:p>
    <w:p w:rsidR="00B24621" w:rsidRDefault="00B24621" w:rsidP="00B24621">
      <w:pPr>
        <w:jc w:val="both"/>
      </w:pPr>
      <w:r>
        <w:t>The results of the Friedman test</w:t>
      </w:r>
      <w:r>
        <w:fldChar w:fldCharType="begin"/>
      </w:r>
      <w:r>
        <w:instrText xml:space="preserve"> XE "Friedman test" </w:instrText>
      </w:r>
      <w:r>
        <w:fldChar w:fldCharType="end"/>
      </w:r>
      <w:r>
        <w:t xml:space="preserve"> could be reported in the following way:</w:t>
      </w:r>
    </w:p>
    <w:p w:rsidR="00B24621" w:rsidRDefault="00B24621" w:rsidP="00B24621">
      <w:pPr>
        <w:ind w:firstLine="720"/>
        <w:jc w:val="both"/>
      </w:pPr>
    </w:p>
    <w:p w:rsidR="00B24621" w:rsidRDefault="00B24621" w:rsidP="00B24621">
      <w:pPr>
        <w:pStyle w:val="BlockText"/>
        <w:spacing w:after="0"/>
        <w:ind w:left="851" w:right="1219"/>
        <w:jc w:val="both"/>
      </w:pPr>
      <w:r>
        <w:t>The results of the Friedman test</w:t>
      </w:r>
      <w:r>
        <w:fldChar w:fldCharType="begin"/>
      </w:r>
      <w:r>
        <w:instrText xml:space="preserve"> XE "Friedman test" </w:instrText>
      </w:r>
      <w:r>
        <w:fldChar w:fldCharType="end"/>
      </w:r>
      <w:r>
        <w:t xml:space="preserve"> indicate that there is a significant difference in median total pulmonary resistance across the three time periods.  Therefore, we can conclude that hydralazine alters total pulmonary resistance (p=0.042).  </w:t>
      </w:r>
    </w:p>
    <w:p w:rsidR="00B24621" w:rsidRDefault="00B24621" w:rsidP="00B24621">
      <w:pPr>
        <w:pStyle w:val="BlockText"/>
        <w:spacing w:after="0"/>
        <w:ind w:left="851" w:right="1218"/>
        <w:jc w:val="both"/>
      </w:pPr>
    </w:p>
    <w:p w:rsidR="00B24621" w:rsidRDefault="00B24621" w:rsidP="00B24621">
      <w:pPr>
        <w:pStyle w:val="BlockText"/>
        <w:spacing w:after="0"/>
        <w:ind w:left="851" w:right="1218"/>
        <w:jc w:val="both"/>
      </w:pPr>
      <w:r>
        <w:t>Post hoc analyses with the adjustment of the two-tailed level to 0.0083 indicated that there were decreases in total pulmonary resistance from before treatment (Md=17.0) to 48 hours after treatment (Md= 7.4).  No other significant differences were found.</w:t>
      </w:r>
    </w:p>
    <w:p w:rsidR="00B24621" w:rsidRDefault="00B24621" w:rsidP="00B24621">
      <w:pPr>
        <w:ind w:firstLine="720"/>
        <w:jc w:val="both"/>
      </w:pPr>
    </w:p>
    <w:p w:rsidR="00B24621" w:rsidRDefault="00B24621" w:rsidP="00B24621">
      <w:pPr>
        <w:jc w:val="both"/>
      </w:pPr>
      <w:r>
        <w:rPr>
          <w:b/>
        </w:rPr>
        <w:t>Note:</w:t>
      </w:r>
      <w:r>
        <w:t xml:space="preserve"> That post hoc testing was carried out here on a very small sample size as an illustration, in reality post hoc testing would not be carried out on such a small sample size.</w:t>
      </w:r>
    </w:p>
    <w:p w:rsidR="00B24621" w:rsidRDefault="00B24621" w:rsidP="00B24621">
      <w:pPr>
        <w:jc w:val="both"/>
      </w:pPr>
    </w:p>
    <w:p w:rsidR="00B24621" w:rsidRDefault="00B24621" w:rsidP="00B24621">
      <w:pPr>
        <w:jc w:val="both"/>
      </w:pPr>
    </w:p>
    <w:p w:rsidR="00B24621" w:rsidRDefault="00B24621" w:rsidP="00B24621">
      <w:pPr>
        <w:pStyle w:val="Heading3"/>
      </w:pPr>
      <w:bookmarkStart w:id="34" w:name="_Toc511540813"/>
      <w:bookmarkStart w:id="35" w:name="_Toc78189090"/>
      <w:r>
        <w:t>Advantages and Limitations</w:t>
      </w:r>
      <w:bookmarkEnd w:id="34"/>
      <w:bookmarkEnd w:id="35"/>
    </w:p>
    <w:p w:rsidR="00B24621" w:rsidRDefault="00B24621" w:rsidP="00B24621"/>
    <w:p w:rsidR="00B24621" w:rsidRDefault="00B24621" w:rsidP="00B24621">
      <w:pPr>
        <w:pStyle w:val="BodyText2"/>
        <w:tabs>
          <w:tab w:val="clear" w:pos="6804"/>
        </w:tabs>
        <w:ind w:right="-58"/>
        <w:jc w:val="both"/>
      </w:pPr>
      <w:r>
        <w:t>The Friedman test is very versatile and can be used with randomised block designs and multiple observations of a single sample.  It is useful when the dependent variable is skewed.</w:t>
      </w:r>
    </w:p>
    <w:p w:rsidR="00B24621" w:rsidRDefault="00B24621" w:rsidP="00B24621">
      <w:pPr>
        <w:jc w:val="both"/>
      </w:pPr>
    </w:p>
    <w:p w:rsidR="00B24621" w:rsidRDefault="00B24621" w:rsidP="00B24621">
      <w:pPr>
        <w:pStyle w:val="BodyText2"/>
        <w:tabs>
          <w:tab w:val="clear" w:pos="-1985"/>
          <w:tab w:val="clear" w:pos="709"/>
          <w:tab w:val="clear" w:pos="6804"/>
        </w:tabs>
        <w:ind w:right="-58"/>
        <w:jc w:val="both"/>
      </w:pPr>
      <w:r>
        <w:t xml:space="preserve">There are some drawbacks however, it is possible for the medians not to change and </w:t>
      </w:r>
      <w:proofErr w:type="gramStart"/>
      <w:r>
        <w:t>there</w:t>
      </w:r>
      <w:proofErr w:type="gramEnd"/>
      <w:r>
        <w:t xml:space="preserve"> still to be significant differences between groups.  Although it is often referred to as the Friedman two-way ANOVA by ranks, it is restricted to within group comparisons.  It is not possible to test between group comparisons.  This is a major disadvantage in clinical research as it is not possible to make experimental-control group comparisons.  Each group can be analysed separately and compare their results.  However, it is not possible to test a group and time interaction with independent groups.</w:t>
      </w:r>
    </w:p>
    <w:p w:rsidR="00B24621" w:rsidRDefault="00B24621" w:rsidP="00B24621">
      <w:pPr>
        <w:jc w:val="both"/>
      </w:pPr>
    </w:p>
    <w:p w:rsidR="00B24621" w:rsidRDefault="00B24621" w:rsidP="00B24621">
      <w:pPr>
        <w:jc w:val="both"/>
      </w:pPr>
    </w:p>
    <w:p w:rsidR="00B24621" w:rsidRDefault="00B24621" w:rsidP="00B24621">
      <w:pPr>
        <w:pStyle w:val="Heading3"/>
        <w:jc w:val="both"/>
      </w:pPr>
      <w:bookmarkStart w:id="36" w:name="_Toc511540814"/>
      <w:bookmarkStart w:id="37" w:name="_Toc78189091"/>
      <w:r>
        <w:t>Summary</w:t>
      </w:r>
      <w:bookmarkEnd w:id="36"/>
      <w:bookmarkEnd w:id="37"/>
      <w:r>
        <w:fldChar w:fldCharType="begin"/>
      </w:r>
      <w:r>
        <w:instrText xml:space="preserve"> XE "Friedman test:summary" </w:instrText>
      </w:r>
      <w:r>
        <w:fldChar w:fldCharType="end"/>
      </w:r>
    </w:p>
    <w:p w:rsidR="00B24621" w:rsidRDefault="00B24621" w:rsidP="00B24621">
      <w:pPr>
        <w:jc w:val="both"/>
      </w:pPr>
    </w:p>
    <w:p w:rsidR="00B24621" w:rsidRDefault="00B24621" w:rsidP="00B24621">
      <w:pPr>
        <w:jc w:val="both"/>
      </w:pPr>
      <w:r>
        <w:t>Friedman’s test</w:t>
      </w:r>
      <w:r>
        <w:fldChar w:fldCharType="begin"/>
      </w:r>
      <w:r>
        <w:instrText xml:space="preserve"> XE "Friedman test" </w:instrText>
      </w:r>
      <w:r>
        <w:fldChar w:fldCharType="end"/>
      </w:r>
      <w:r>
        <w:t>, tests the null hypothesis</w:t>
      </w:r>
      <w:r>
        <w:fldChar w:fldCharType="begin"/>
      </w:r>
      <w:r>
        <w:instrText xml:space="preserve"> XE "Null hypothesis" </w:instrText>
      </w:r>
      <w:r>
        <w:fldChar w:fldCharType="end"/>
      </w:r>
      <w:r>
        <w:t xml:space="preserve"> that k related variables come from the same population.  For each case, the </w:t>
      </w:r>
      <w:r>
        <w:rPr>
          <w:i/>
        </w:rPr>
        <w:t>k</w:t>
      </w:r>
      <w:r>
        <w:t xml:space="preserve"> variables are ranked from 1 to </w:t>
      </w:r>
      <w:r>
        <w:rPr>
          <w:i/>
        </w:rPr>
        <w:t>k</w:t>
      </w:r>
      <w:r>
        <w:t>; the test statistic is based on these ranks</w:t>
      </w:r>
      <w:r>
        <w:fldChar w:fldCharType="begin"/>
      </w:r>
      <w:r>
        <w:instrText xml:space="preserve"> XE "Ranks" </w:instrText>
      </w:r>
      <w:r>
        <w:fldChar w:fldCharType="end"/>
      </w:r>
      <w:r>
        <w:t xml:space="preserve">.  </w:t>
      </w:r>
    </w:p>
    <w:p w:rsidR="00B24621" w:rsidRDefault="00B24621" w:rsidP="00B24621">
      <w:pPr>
        <w:jc w:val="both"/>
      </w:pPr>
    </w:p>
    <w:p w:rsidR="00B24621" w:rsidRDefault="00B24621" w:rsidP="00B24621">
      <w:pPr>
        <w:jc w:val="both"/>
      </w:pPr>
      <w:r>
        <w:t>After establishing a difference between one of the variables, post hoc testing can be carried out to decide which of the variables are actually different.  An appropriate method for allowing for multiple testing must be carried out.</w:t>
      </w:r>
    </w:p>
    <w:p w:rsidR="0039080C" w:rsidRDefault="0039080C">
      <w:bookmarkStart w:id="38" w:name="_GoBack"/>
      <w:bookmarkEnd w:id="38"/>
    </w:p>
    <w:sectPr w:rsidR="0039080C" w:rsidSect="00C8437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32D63"/>
    <w:multiLevelType w:val="singleLevel"/>
    <w:tmpl w:val="49166162"/>
    <w:lvl w:ilvl="0">
      <w:start w:val="5"/>
      <w:numFmt w:val="decimal"/>
      <w:lvlText w:val="%1."/>
      <w:lvlJc w:val="left"/>
      <w:pPr>
        <w:tabs>
          <w:tab w:val="num" w:pos="360"/>
        </w:tabs>
        <w:ind w:left="360" w:hanging="360"/>
      </w:pPr>
    </w:lvl>
  </w:abstractNum>
  <w:abstractNum w:abstractNumId="1">
    <w:nsid w:val="41564AAE"/>
    <w:multiLevelType w:val="multilevel"/>
    <w:tmpl w:val="0C0EC56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6FB370EC"/>
    <w:multiLevelType w:val="singleLevel"/>
    <w:tmpl w:val="57FE407A"/>
    <w:lvl w:ilvl="0">
      <w:start w:val="1"/>
      <w:numFmt w:val="decimal"/>
      <w:lvlText w:val="%1."/>
      <w:lvlJc w:val="left"/>
      <w:pPr>
        <w:tabs>
          <w:tab w:val="num" w:pos="360"/>
        </w:tabs>
        <w:ind w:left="360" w:hanging="360"/>
      </w:pPr>
    </w:lvl>
  </w:abstractNum>
  <w:abstractNum w:abstractNumId="3">
    <w:nsid w:val="732809F2"/>
    <w:multiLevelType w:val="singleLevel"/>
    <w:tmpl w:val="F4CE493A"/>
    <w:lvl w:ilvl="0">
      <w:start w:val="1"/>
      <w:numFmt w:val="decimal"/>
      <w:lvlText w:val="%1."/>
      <w:lvlJc w:val="left"/>
      <w:pPr>
        <w:tabs>
          <w:tab w:val="num" w:pos="360"/>
        </w:tabs>
        <w:ind w:left="360" w:hanging="36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621"/>
    <w:rsid w:val="0039080C"/>
    <w:rsid w:val="00B24621"/>
    <w:rsid w:val="00C8437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50B1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lock Text"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621"/>
    <w:rPr>
      <w:rFonts w:ascii="Times New Roman" w:eastAsia="Times New Roman" w:hAnsi="Times New Roman" w:cs="Times New Roman"/>
      <w:szCs w:val="20"/>
    </w:rPr>
  </w:style>
  <w:style w:type="paragraph" w:styleId="Heading1">
    <w:name w:val="heading 1"/>
    <w:basedOn w:val="Normal"/>
    <w:next w:val="Normal"/>
    <w:link w:val="Heading1Char"/>
    <w:qFormat/>
    <w:rsid w:val="00B24621"/>
    <w:pPr>
      <w:keepNext/>
      <w:numPr>
        <w:numId w:val="4"/>
      </w:numPr>
      <w:outlineLvl w:val="0"/>
    </w:pPr>
    <w:rPr>
      <w:b/>
      <w:smallCaps/>
      <w:sz w:val="28"/>
    </w:rPr>
  </w:style>
  <w:style w:type="paragraph" w:styleId="Heading2">
    <w:name w:val="heading 2"/>
    <w:basedOn w:val="Normal"/>
    <w:next w:val="Normal"/>
    <w:link w:val="Heading2Char"/>
    <w:qFormat/>
    <w:rsid w:val="00B24621"/>
    <w:pPr>
      <w:keepNext/>
      <w:numPr>
        <w:ilvl w:val="1"/>
        <w:numId w:val="4"/>
      </w:numPr>
      <w:jc w:val="both"/>
      <w:outlineLvl w:val="1"/>
    </w:pPr>
    <w:rPr>
      <w:b/>
      <w:u w:val="single"/>
    </w:rPr>
  </w:style>
  <w:style w:type="paragraph" w:styleId="Heading3">
    <w:name w:val="heading 3"/>
    <w:basedOn w:val="Normal"/>
    <w:next w:val="Normal"/>
    <w:link w:val="Heading3Char"/>
    <w:qFormat/>
    <w:rsid w:val="00B24621"/>
    <w:pPr>
      <w:keepNext/>
      <w:numPr>
        <w:ilvl w:val="2"/>
        <w:numId w:val="4"/>
      </w:numPr>
      <w:outlineLvl w:val="2"/>
    </w:pPr>
    <w:rPr>
      <w:b/>
    </w:rPr>
  </w:style>
  <w:style w:type="paragraph" w:styleId="Heading4">
    <w:name w:val="heading 4"/>
    <w:basedOn w:val="Normal"/>
    <w:next w:val="Normal"/>
    <w:link w:val="Heading4Char"/>
    <w:qFormat/>
    <w:rsid w:val="00B24621"/>
    <w:pPr>
      <w:keepNext/>
      <w:numPr>
        <w:ilvl w:val="3"/>
        <w:numId w:val="4"/>
      </w:numPr>
      <w:outlineLvl w:val="3"/>
    </w:pPr>
    <w:rPr>
      <w:b/>
    </w:rPr>
  </w:style>
  <w:style w:type="paragraph" w:styleId="Heading5">
    <w:name w:val="heading 5"/>
    <w:basedOn w:val="Normal"/>
    <w:next w:val="Normal"/>
    <w:link w:val="Heading5Char"/>
    <w:qFormat/>
    <w:rsid w:val="00B24621"/>
    <w:pPr>
      <w:numPr>
        <w:ilvl w:val="4"/>
        <w:numId w:val="4"/>
      </w:numPr>
      <w:spacing w:before="240" w:after="60"/>
      <w:outlineLvl w:val="4"/>
    </w:pPr>
    <w:rPr>
      <w:sz w:val="22"/>
    </w:rPr>
  </w:style>
  <w:style w:type="paragraph" w:styleId="Heading6">
    <w:name w:val="heading 6"/>
    <w:basedOn w:val="Normal"/>
    <w:next w:val="Normal"/>
    <w:link w:val="Heading6Char"/>
    <w:qFormat/>
    <w:rsid w:val="00B24621"/>
    <w:pPr>
      <w:numPr>
        <w:ilvl w:val="5"/>
        <w:numId w:val="4"/>
      </w:numPr>
      <w:spacing w:before="240" w:after="60"/>
      <w:outlineLvl w:val="5"/>
    </w:pPr>
    <w:rPr>
      <w:i/>
      <w:sz w:val="22"/>
    </w:rPr>
  </w:style>
  <w:style w:type="paragraph" w:styleId="Heading7">
    <w:name w:val="heading 7"/>
    <w:basedOn w:val="Normal"/>
    <w:next w:val="Normal"/>
    <w:link w:val="Heading7Char"/>
    <w:qFormat/>
    <w:rsid w:val="00B24621"/>
    <w:pPr>
      <w:numPr>
        <w:ilvl w:val="6"/>
        <w:numId w:val="4"/>
      </w:numPr>
      <w:spacing w:before="240" w:after="60"/>
      <w:outlineLvl w:val="6"/>
    </w:pPr>
    <w:rPr>
      <w:rFonts w:ascii="Arial" w:hAnsi="Arial"/>
      <w:sz w:val="20"/>
    </w:rPr>
  </w:style>
  <w:style w:type="paragraph" w:styleId="Heading8">
    <w:name w:val="heading 8"/>
    <w:basedOn w:val="Normal"/>
    <w:next w:val="Normal"/>
    <w:link w:val="Heading8Char"/>
    <w:qFormat/>
    <w:rsid w:val="00B24621"/>
    <w:pPr>
      <w:numPr>
        <w:ilvl w:val="7"/>
        <w:numId w:val="4"/>
      </w:numPr>
      <w:spacing w:before="240" w:after="60"/>
      <w:outlineLvl w:val="7"/>
    </w:pPr>
    <w:rPr>
      <w:rFonts w:ascii="Arial" w:hAnsi="Arial"/>
      <w:i/>
      <w:sz w:val="20"/>
    </w:rPr>
  </w:style>
  <w:style w:type="paragraph" w:styleId="Heading9">
    <w:name w:val="heading 9"/>
    <w:basedOn w:val="Normal"/>
    <w:next w:val="Normal"/>
    <w:link w:val="Heading9Char"/>
    <w:qFormat/>
    <w:rsid w:val="00B24621"/>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4621"/>
    <w:rPr>
      <w:rFonts w:ascii="Times New Roman" w:eastAsia="Times New Roman" w:hAnsi="Times New Roman" w:cs="Times New Roman"/>
      <w:b/>
      <w:smallCaps/>
      <w:sz w:val="28"/>
      <w:szCs w:val="20"/>
    </w:rPr>
  </w:style>
  <w:style w:type="character" w:customStyle="1" w:styleId="Heading2Char">
    <w:name w:val="Heading 2 Char"/>
    <w:basedOn w:val="DefaultParagraphFont"/>
    <w:link w:val="Heading2"/>
    <w:rsid w:val="00B24621"/>
    <w:rPr>
      <w:rFonts w:ascii="Times New Roman" w:eastAsia="Times New Roman" w:hAnsi="Times New Roman" w:cs="Times New Roman"/>
      <w:b/>
      <w:szCs w:val="20"/>
      <w:u w:val="single"/>
    </w:rPr>
  </w:style>
  <w:style w:type="character" w:customStyle="1" w:styleId="Heading3Char">
    <w:name w:val="Heading 3 Char"/>
    <w:basedOn w:val="DefaultParagraphFont"/>
    <w:link w:val="Heading3"/>
    <w:rsid w:val="00B24621"/>
    <w:rPr>
      <w:rFonts w:ascii="Times New Roman" w:eastAsia="Times New Roman" w:hAnsi="Times New Roman" w:cs="Times New Roman"/>
      <w:b/>
      <w:szCs w:val="20"/>
    </w:rPr>
  </w:style>
  <w:style w:type="character" w:customStyle="1" w:styleId="Heading4Char">
    <w:name w:val="Heading 4 Char"/>
    <w:basedOn w:val="DefaultParagraphFont"/>
    <w:link w:val="Heading4"/>
    <w:rsid w:val="00B24621"/>
    <w:rPr>
      <w:rFonts w:ascii="Times New Roman" w:eastAsia="Times New Roman" w:hAnsi="Times New Roman" w:cs="Times New Roman"/>
      <w:b/>
      <w:szCs w:val="20"/>
    </w:rPr>
  </w:style>
  <w:style w:type="character" w:customStyle="1" w:styleId="Heading5Char">
    <w:name w:val="Heading 5 Char"/>
    <w:basedOn w:val="DefaultParagraphFont"/>
    <w:link w:val="Heading5"/>
    <w:rsid w:val="00B24621"/>
    <w:rPr>
      <w:rFonts w:ascii="Times New Roman" w:eastAsia="Times New Roman" w:hAnsi="Times New Roman" w:cs="Times New Roman"/>
      <w:sz w:val="22"/>
      <w:szCs w:val="20"/>
    </w:rPr>
  </w:style>
  <w:style w:type="character" w:customStyle="1" w:styleId="Heading6Char">
    <w:name w:val="Heading 6 Char"/>
    <w:basedOn w:val="DefaultParagraphFont"/>
    <w:link w:val="Heading6"/>
    <w:rsid w:val="00B24621"/>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B24621"/>
    <w:rPr>
      <w:rFonts w:ascii="Arial" w:eastAsia="Times New Roman" w:hAnsi="Arial" w:cs="Times New Roman"/>
      <w:sz w:val="20"/>
      <w:szCs w:val="20"/>
    </w:rPr>
  </w:style>
  <w:style w:type="character" w:customStyle="1" w:styleId="Heading8Char">
    <w:name w:val="Heading 8 Char"/>
    <w:basedOn w:val="DefaultParagraphFont"/>
    <w:link w:val="Heading8"/>
    <w:rsid w:val="00B24621"/>
    <w:rPr>
      <w:rFonts w:ascii="Arial" w:eastAsia="Times New Roman" w:hAnsi="Arial" w:cs="Times New Roman"/>
      <w:i/>
      <w:sz w:val="20"/>
      <w:szCs w:val="20"/>
    </w:rPr>
  </w:style>
  <w:style w:type="character" w:customStyle="1" w:styleId="Heading9Char">
    <w:name w:val="Heading 9 Char"/>
    <w:basedOn w:val="DefaultParagraphFont"/>
    <w:link w:val="Heading9"/>
    <w:rsid w:val="00B24621"/>
    <w:rPr>
      <w:rFonts w:ascii="Arial" w:eastAsia="Times New Roman" w:hAnsi="Arial" w:cs="Times New Roman"/>
      <w:b/>
      <w:i/>
      <w:sz w:val="18"/>
      <w:szCs w:val="20"/>
    </w:rPr>
  </w:style>
  <w:style w:type="paragraph" w:styleId="BlockText">
    <w:name w:val="Block Text"/>
    <w:basedOn w:val="Normal"/>
    <w:semiHidden/>
    <w:rsid w:val="00B24621"/>
    <w:pPr>
      <w:spacing w:after="120"/>
      <w:ind w:left="1440" w:right="1440"/>
    </w:pPr>
  </w:style>
  <w:style w:type="paragraph" w:styleId="BodyText2">
    <w:name w:val="Body Text 2"/>
    <w:basedOn w:val="Normal"/>
    <w:link w:val="BodyText2Char"/>
    <w:semiHidden/>
    <w:rsid w:val="00B24621"/>
    <w:pPr>
      <w:tabs>
        <w:tab w:val="left" w:pos="-1985"/>
        <w:tab w:val="left" w:pos="709"/>
        <w:tab w:val="right" w:pos="6804"/>
      </w:tabs>
      <w:ind w:right="1502"/>
    </w:pPr>
  </w:style>
  <w:style w:type="character" w:customStyle="1" w:styleId="BodyText2Char">
    <w:name w:val="Body Text 2 Char"/>
    <w:basedOn w:val="DefaultParagraphFont"/>
    <w:link w:val="BodyText2"/>
    <w:semiHidden/>
    <w:rsid w:val="00B24621"/>
    <w:rPr>
      <w:rFonts w:ascii="Times New Roman" w:eastAsia="Times New Roman" w:hAnsi="Times New Roman" w:cs="Times New Roman"/>
      <w:szCs w:val="20"/>
    </w:rPr>
  </w:style>
  <w:style w:type="character" w:styleId="Emphasis">
    <w:name w:val="Emphasis"/>
    <w:basedOn w:val="DefaultParagraphFont"/>
    <w:qFormat/>
    <w:rsid w:val="00B24621"/>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lock Text"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621"/>
    <w:rPr>
      <w:rFonts w:ascii="Times New Roman" w:eastAsia="Times New Roman" w:hAnsi="Times New Roman" w:cs="Times New Roman"/>
      <w:szCs w:val="20"/>
    </w:rPr>
  </w:style>
  <w:style w:type="paragraph" w:styleId="Heading1">
    <w:name w:val="heading 1"/>
    <w:basedOn w:val="Normal"/>
    <w:next w:val="Normal"/>
    <w:link w:val="Heading1Char"/>
    <w:qFormat/>
    <w:rsid w:val="00B24621"/>
    <w:pPr>
      <w:keepNext/>
      <w:numPr>
        <w:numId w:val="4"/>
      </w:numPr>
      <w:outlineLvl w:val="0"/>
    </w:pPr>
    <w:rPr>
      <w:b/>
      <w:smallCaps/>
      <w:sz w:val="28"/>
    </w:rPr>
  </w:style>
  <w:style w:type="paragraph" w:styleId="Heading2">
    <w:name w:val="heading 2"/>
    <w:basedOn w:val="Normal"/>
    <w:next w:val="Normal"/>
    <w:link w:val="Heading2Char"/>
    <w:qFormat/>
    <w:rsid w:val="00B24621"/>
    <w:pPr>
      <w:keepNext/>
      <w:numPr>
        <w:ilvl w:val="1"/>
        <w:numId w:val="4"/>
      </w:numPr>
      <w:jc w:val="both"/>
      <w:outlineLvl w:val="1"/>
    </w:pPr>
    <w:rPr>
      <w:b/>
      <w:u w:val="single"/>
    </w:rPr>
  </w:style>
  <w:style w:type="paragraph" w:styleId="Heading3">
    <w:name w:val="heading 3"/>
    <w:basedOn w:val="Normal"/>
    <w:next w:val="Normal"/>
    <w:link w:val="Heading3Char"/>
    <w:qFormat/>
    <w:rsid w:val="00B24621"/>
    <w:pPr>
      <w:keepNext/>
      <w:numPr>
        <w:ilvl w:val="2"/>
        <w:numId w:val="4"/>
      </w:numPr>
      <w:outlineLvl w:val="2"/>
    </w:pPr>
    <w:rPr>
      <w:b/>
    </w:rPr>
  </w:style>
  <w:style w:type="paragraph" w:styleId="Heading4">
    <w:name w:val="heading 4"/>
    <w:basedOn w:val="Normal"/>
    <w:next w:val="Normal"/>
    <w:link w:val="Heading4Char"/>
    <w:qFormat/>
    <w:rsid w:val="00B24621"/>
    <w:pPr>
      <w:keepNext/>
      <w:numPr>
        <w:ilvl w:val="3"/>
        <w:numId w:val="4"/>
      </w:numPr>
      <w:outlineLvl w:val="3"/>
    </w:pPr>
    <w:rPr>
      <w:b/>
    </w:rPr>
  </w:style>
  <w:style w:type="paragraph" w:styleId="Heading5">
    <w:name w:val="heading 5"/>
    <w:basedOn w:val="Normal"/>
    <w:next w:val="Normal"/>
    <w:link w:val="Heading5Char"/>
    <w:qFormat/>
    <w:rsid w:val="00B24621"/>
    <w:pPr>
      <w:numPr>
        <w:ilvl w:val="4"/>
        <w:numId w:val="4"/>
      </w:numPr>
      <w:spacing w:before="240" w:after="60"/>
      <w:outlineLvl w:val="4"/>
    </w:pPr>
    <w:rPr>
      <w:sz w:val="22"/>
    </w:rPr>
  </w:style>
  <w:style w:type="paragraph" w:styleId="Heading6">
    <w:name w:val="heading 6"/>
    <w:basedOn w:val="Normal"/>
    <w:next w:val="Normal"/>
    <w:link w:val="Heading6Char"/>
    <w:qFormat/>
    <w:rsid w:val="00B24621"/>
    <w:pPr>
      <w:numPr>
        <w:ilvl w:val="5"/>
        <w:numId w:val="4"/>
      </w:numPr>
      <w:spacing w:before="240" w:after="60"/>
      <w:outlineLvl w:val="5"/>
    </w:pPr>
    <w:rPr>
      <w:i/>
      <w:sz w:val="22"/>
    </w:rPr>
  </w:style>
  <w:style w:type="paragraph" w:styleId="Heading7">
    <w:name w:val="heading 7"/>
    <w:basedOn w:val="Normal"/>
    <w:next w:val="Normal"/>
    <w:link w:val="Heading7Char"/>
    <w:qFormat/>
    <w:rsid w:val="00B24621"/>
    <w:pPr>
      <w:numPr>
        <w:ilvl w:val="6"/>
        <w:numId w:val="4"/>
      </w:numPr>
      <w:spacing w:before="240" w:after="60"/>
      <w:outlineLvl w:val="6"/>
    </w:pPr>
    <w:rPr>
      <w:rFonts w:ascii="Arial" w:hAnsi="Arial"/>
      <w:sz w:val="20"/>
    </w:rPr>
  </w:style>
  <w:style w:type="paragraph" w:styleId="Heading8">
    <w:name w:val="heading 8"/>
    <w:basedOn w:val="Normal"/>
    <w:next w:val="Normal"/>
    <w:link w:val="Heading8Char"/>
    <w:qFormat/>
    <w:rsid w:val="00B24621"/>
    <w:pPr>
      <w:numPr>
        <w:ilvl w:val="7"/>
        <w:numId w:val="4"/>
      </w:numPr>
      <w:spacing w:before="240" w:after="60"/>
      <w:outlineLvl w:val="7"/>
    </w:pPr>
    <w:rPr>
      <w:rFonts w:ascii="Arial" w:hAnsi="Arial"/>
      <w:i/>
      <w:sz w:val="20"/>
    </w:rPr>
  </w:style>
  <w:style w:type="paragraph" w:styleId="Heading9">
    <w:name w:val="heading 9"/>
    <w:basedOn w:val="Normal"/>
    <w:next w:val="Normal"/>
    <w:link w:val="Heading9Char"/>
    <w:qFormat/>
    <w:rsid w:val="00B24621"/>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24621"/>
    <w:rPr>
      <w:rFonts w:ascii="Times New Roman" w:eastAsia="Times New Roman" w:hAnsi="Times New Roman" w:cs="Times New Roman"/>
      <w:b/>
      <w:smallCaps/>
      <w:sz w:val="28"/>
      <w:szCs w:val="20"/>
    </w:rPr>
  </w:style>
  <w:style w:type="character" w:customStyle="1" w:styleId="Heading2Char">
    <w:name w:val="Heading 2 Char"/>
    <w:basedOn w:val="DefaultParagraphFont"/>
    <w:link w:val="Heading2"/>
    <w:rsid w:val="00B24621"/>
    <w:rPr>
      <w:rFonts w:ascii="Times New Roman" w:eastAsia="Times New Roman" w:hAnsi="Times New Roman" w:cs="Times New Roman"/>
      <w:b/>
      <w:szCs w:val="20"/>
      <w:u w:val="single"/>
    </w:rPr>
  </w:style>
  <w:style w:type="character" w:customStyle="1" w:styleId="Heading3Char">
    <w:name w:val="Heading 3 Char"/>
    <w:basedOn w:val="DefaultParagraphFont"/>
    <w:link w:val="Heading3"/>
    <w:rsid w:val="00B24621"/>
    <w:rPr>
      <w:rFonts w:ascii="Times New Roman" w:eastAsia="Times New Roman" w:hAnsi="Times New Roman" w:cs="Times New Roman"/>
      <w:b/>
      <w:szCs w:val="20"/>
    </w:rPr>
  </w:style>
  <w:style w:type="character" w:customStyle="1" w:styleId="Heading4Char">
    <w:name w:val="Heading 4 Char"/>
    <w:basedOn w:val="DefaultParagraphFont"/>
    <w:link w:val="Heading4"/>
    <w:rsid w:val="00B24621"/>
    <w:rPr>
      <w:rFonts w:ascii="Times New Roman" w:eastAsia="Times New Roman" w:hAnsi="Times New Roman" w:cs="Times New Roman"/>
      <w:b/>
      <w:szCs w:val="20"/>
    </w:rPr>
  </w:style>
  <w:style w:type="character" w:customStyle="1" w:styleId="Heading5Char">
    <w:name w:val="Heading 5 Char"/>
    <w:basedOn w:val="DefaultParagraphFont"/>
    <w:link w:val="Heading5"/>
    <w:rsid w:val="00B24621"/>
    <w:rPr>
      <w:rFonts w:ascii="Times New Roman" w:eastAsia="Times New Roman" w:hAnsi="Times New Roman" w:cs="Times New Roman"/>
      <w:sz w:val="22"/>
      <w:szCs w:val="20"/>
    </w:rPr>
  </w:style>
  <w:style w:type="character" w:customStyle="1" w:styleId="Heading6Char">
    <w:name w:val="Heading 6 Char"/>
    <w:basedOn w:val="DefaultParagraphFont"/>
    <w:link w:val="Heading6"/>
    <w:rsid w:val="00B24621"/>
    <w:rPr>
      <w:rFonts w:ascii="Times New Roman" w:eastAsia="Times New Roman" w:hAnsi="Times New Roman" w:cs="Times New Roman"/>
      <w:i/>
      <w:sz w:val="22"/>
      <w:szCs w:val="20"/>
    </w:rPr>
  </w:style>
  <w:style w:type="character" w:customStyle="1" w:styleId="Heading7Char">
    <w:name w:val="Heading 7 Char"/>
    <w:basedOn w:val="DefaultParagraphFont"/>
    <w:link w:val="Heading7"/>
    <w:rsid w:val="00B24621"/>
    <w:rPr>
      <w:rFonts w:ascii="Arial" w:eastAsia="Times New Roman" w:hAnsi="Arial" w:cs="Times New Roman"/>
      <w:sz w:val="20"/>
      <w:szCs w:val="20"/>
    </w:rPr>
  </w:style>
  <w:style w:type="character" w:customStyle="1" w:styleId="Heading8Char">
    <w:name w:val="Heading 8 Char"/>
    <w:basedOn w:val="DefaultParagraphFont"/>
    <w:link w:val="Heading8"/>
    <w:rsid w:val="00B24621"/>
    <w:rPr>
      <w:rFonts w:ascii="Arial" w:eastAsia="Times New Roman" w:hAnsi="Arial" w:cs="Times New Roman"/>
      <w:i/>
      <w:sz w:val="20"/>
      <w:szCs w:val="20"/>
    </w:rPr>
  </w:style>
  <w:style w:type="character" w:customStyle="1" w:styleId="Heading9Char">
    <w:name w:val="Heading 9 Char"/>
    <w:basedOn w:val="DefaultParagraphFont"/>
    <w:link w:val="Heading9"/>
    <w:rsid w:val="00B24621"/>
    <w:rPr>
      <w:rFonts w:ascii="Arial" w:eastAsia="Times New Roman" w:hAnsi="Arial" w:cs="Times New Roman"/>
      <w:b/>
      <w:i/>
      <w:sz w:val="18"/>
      <w:szCs w:val="20"/>
    </w:rPr>
  </w:style>
  <w:style w:type="paragraph" w:styleId="BlockText">
    <w:name w:val="Block Text"/>
    <w:basedOn w:val="Normal"/>
    <w:semiHidden/>
    <w:rsid w:val="00B24621"/>
    <w:pPr>
      <w:spacing w:after="120"/>
      <w:ind w:left="1440" w:right="1440"/>
    </w:pPr>
  </w:style>
  <w:style w:type="paragraph" w:styleId="BodyText2">
    <w:name w:val="Body Text 2"/>
    <w:basedOn w:val="Normal"/>
    <w:link w:val="BodyText2Char"/>
    <w:semiHidden/>
    <w:rsid w:val="00B24621"/>
    <w:pPr>
      <w:tabs>
        <w:tab w:val="left" w:pos="-1985"/>
        <w:tab w:val="left" w:pos="709"/>
        <w:tab w:val="right" w:pos="6804"/>
      </w:tabs>
      <w:ind w:right="1502"/>
    </w:pPr>
  </w:style>
  <w:style w:type="character" w:customStyle="1" w:styleId="BodyText2Char">
    <w:name w:val="Body Text 2 Char"/>
    <w:basedOn w:val="DefaultParagraphFont"/>
    <w:link w:val="BodyText2"/>
    <w:semiHidden/>
    <w:rsid w:val="00B24621"/>
    <w:rPr>
      <w:rFonts w:ascii="Times New Roman" w:eastAsia="Times New Roman" w:hAnsi="Times New Roman" w:cs="Times New Roman"/>
      <w:szCs w:val="20"/>
    </w:rPr>
  </w:style>
  <w:style w:type="character" w:styleId="Emphasis">
    <w:name w:val="Emphasis"/>
    <w:basedOn w:val="DefaultParagraphFont"/>
    <w:qFormat/>
    <w:rsid w:val="00B24621"/>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wmf"/><Relationship Id="rId11" Type="http://schemas.openxmlformats.org/officeDocument/2006/relationships/oleObject" Target="embeddings/oleObject2.bin"/><Relationship Id="rId12" Type="http://schemas.openxmlformats.org/officeDocument/2006/relationships/image" Target="media/image4.wmf"/><Relationship Id="rId13" Type="http://schemas.openxmlformats.org/officeDocument/2006/relationships/oleObject" Target="embeddings/oleObject3.bin"/><Relationship Id="rId14" Type="http://schemas.openxmlformats.org/officeDocument/2006/relationships/image" Target="media/image5.wmf"/><Relationship Id="rId15" Type="http://schemas.openxmlformats.org/officeDocument/2006/relationships/oleObject" Target="embeddings/oleObject4.bin"/><Relationship Id="rId16" Type="http://schemas.openxmlformats.org/officeDocument/2006/relationships/image" Target="media/image6.wmf"/><Relationship Id="rId17" Type="http://schemas.openxmlformats.org/officeDocument/2006/relationships/oleObject" Target="embeddings/oleObject5.bin"/><Relationship Id="rId18" Type="http://schemas.openxmlformats.org/officeDocument/2006/relationships/image" Target="media/image7.wmf"/><Relationship Id="rId19" Type="http://schemas.openxmlformats.org/officeDocument/2006/relationships/oleObject" Target="embeddings/oleObject6.bin"/><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wmf"/><Relationship Id="rId7" Type="http://schemas.openxmlformats.org/officeDocument/2006/relationships/oleObject" Target="embeddings/Microsoft_Equation1.bin"/><Relationship Id="rId8"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1351</Words>
  <Characters>7701</Characters>
  <Application>Microsoft Macintosh Word</Application>
  <DocSecurity>0</DocSecurity>
  <Lines>64</Lines>
  <Paragraphs>18</Paragraphs>
  <ScaleCrop>false</ScaleCrop>
  <Company>CI</Company>
  <LinksUpToDate>false</LinksUpToDate>
  <CharactersWithSpaces>9034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Vowler</dc:creator>
  <cp:keywords/>
  <dc:description/>
  <cp:lastModifiedBy>Sarah Vowler</cp:lastModifiedBy>
  <cp:revision>1</cp:revision>
  <dcterms:created xsi:type="dcterms:W3CDTF">2015-09-21T10:52:00Z</dcterms:created>
  <dcterms:modified xsi:type="dcterms:W3CDTF">2015-09-21T10:52:00Z</dcterms:modified>
</cp:coreProperties>
</file>