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62" w:rsidRDefault="004A7462" w:rsidP="004A7462">
      <w:pPr>
        <w:pStyle w:val="Heading2"/>
        <w:numPr>
          <w:ilvl w:val="0"/>
          <w:numId w:val="0"/>
        </w:numPr>
        <w:ind w:left="576" w:hanging="576"/>
      </w:pPr>
      <w:bookmarkStart w:id="0" w:name="_Toc78189068"/>
      <w:proofErr w:type="spellStart"/>
      <w:r>
        <w:t>Jonckheere-Terpstra</w:t>
      </w:r>
      <w:proofErr w:type="spellEnd"/>
      <w:r>
        <w:t xml:space="preserve"> Test</w:t>
      </w:r>
      <w:bookmarkEnd w:id="0"/>
      <w:r>
        <w:fldChar w:fldCharType="begin"/>
      </w:r>
      <w:r>
        <w:instrText xml:space="preserve"> XE "Jonckheere-Terpstra Test" </w:instrText>
      </w:r>
      <w:r>
        <w:fldChar w:fldCharType="end"/>
      </w:r>
    </w:p>
    <w:p w:rsidR="004A7462" w:rsidRDefault="004A7462" w:rsidP="004A7462">
      <w:pPr>
        <w:jc w:val="both"/>
        <w:rPr>
          <w:b/>
          <w:bCs/>
        </w:rPr>
      </w:pPr>
    </w:p>
    <w:p w:rsidR="004A7462" w:rsidRDefault="004A7462" w:rsidP="004A7462">
      <w:pPr>
        <w:jc w:val="both"/>
      </w:pPr>
      <w:r>
        <w:t xml:space="preserve">Also known as the test for ordered alternatives or a nonparametric test for trend.  The </w:t>
      </w:r>
      <w:proofErr w:type="spellStart"/>
      <w:r>
        <w:t>Jonckheere-Terpstra</w:t>
      </w:r>
      <w:proofErr w:type="spellEnd"/>
      <w:r>
        <w:t xml:space="preserve"> test</w:t>
      </w:r>
      <w:r>
        <w:fldChar w:fldCharType="begin"/>
      </w:r>
      <w:r>
        <w:instrText xml:space="preserve"> XE "Jonckheere-Terpstra test" </w:instrText>
      </w:r>
      <w:r>
        <w:fldChar w:fldCharType="end"/>
      </w:r>
      <w:r>
        <w:t xml:space="preserve"> is used when the assumption that the independent variable is nominal in the Kruskal-Wallis test</w:t>
      </w:r>
      <w:r>
        <w:fldChar w:fldCharType="begin"/>
      </w:r>
      <w:r>
        <w:instrText xml:space="preserve"> XE "Kruskal-Wallis test" </w:instrText>
      </w:r>
      <w:r>
        <w:fldChar w:fldCharType="end"/>
      </w:r>
      <w:r>
        <w:t xml:space="preserve"> is violated i.e. the groups </w:t>
      </w:r>
      <w:proofErr w:type="gramStart"/>
      <w:r>
        <w:t>have</w:t>
      </w:r>
      <w:proofErr w:type="gramEnd"/>
      <w:r>
        <w:t xml:space="preserve"> an explicit order.  Since it allows the independent variable (the groups) to have an order it is more powerful than the Kruskal-Wallis test</w:t>
      </w:r>
      <w:r>
        <w:fldChar w:fldCharType="begin"/>
      </w:r>
      <w:r>
        <w:instrText xml:space="preserve"> XE "Kruskal-Wallis test" </w:instrText>
      </w:r>
      <w:r>
        <w:fldChar w:fldCharType="end"/>
      </w:r>
      <w:r>
        <w:t xml:space="preserve"> when the groups are ordered.  </w:t>
      </w:r>
    </w:p>
    <w:p w:rsidR="004A7462" w:rsidRDefault="004A7462" w:rsidP="004A7462">
      <w:pPr>
        <w:jc w:val="both"/>
      </w:pPr>
    </w:p>
    <w:p w:rsidR="004A7462" w:rsidRDefault="004A7462" w:rsidP="004A7462">
      <w:pPr>
        <w:jc w:val="both"/>
      </w:pPr>
    </w:p>
    <w:p w:rsidR="004A7462" w:rsidRDefault="004A7462" w:rsidP="00712FDE">
      <w:pPr>
        <w:pStyle w:val="Heading3"/>
        <w:numPr>
          <w:ilvl w:val="0"/>
          <w:numId w:val="0"/>
        </w:numPr>
        <w:ind w:left="720" w:hanging="720"/>
      </w:pPr>
      <w:bookmarkStart w:id="1" w:name="_Toc78189070"/>
      <w:r>
        <w:t>Null Hypothesis</w:t>
      </w:r>
      <w:bookmarkEnd w:id="1"/>
      <w:r>
        <w:fldChar w:fldCharType="begin"/>
      </w:r>
      <w:r>
        <w:instrText xml:space="preserve"> XE "Jonckheere-Terpstra test:null hypothesis" </w:instrText>
      </w:r>
      <w:r>
        <w:fldChar w:fldCharType="end"/>
      </w:r>
    </w:p>
    <w:p w:rsidR="004A7462" w:rsidRDefault="004A7462" w:rsidP="004A7462">
      <w:pPr>
        <w:jc w:val="both"/>
      </w:pPr>
    </w:p>
    <w:p w:rsidR="004A7462" w:rsidRDefault="004A7462" w:rsidP="004A7462">
      <w:pPr>
        <w:jc w:val="both"/>
      </w:pPr>
      <w:r>
        <w:t>H</w:t>
      </w:r>
      <w:r>
        <w:rPr>
          <w:vertAlign w:val="subscript"/>
        </w:rPr>
        <w:t>0</w:t>
      </w:r>
      <w:r>
        <w:t xml:space="preserve">: There is no difference in median values between the groups.  </w:t>
      </w:r>
    </w:p>
    <w:p w:rsidR="004A7462" w:rsidRDefault="004A7462" w:rsidP="004A7462">
      <w:pPr>
        <w:jc w:val="both"/>
      </w:pPr>
      <w:r>
        <w:t>H</w:t>
      </w:r>
      <w:r>
        <w:rPr>
          <w:vertAlign w:val="subscript"/>
        </w:rPr>
        <w:t>A</w:t>
      </w:r>
      <w:r>
        <w:t xml:space="preserve">: The median values of the groups increase in a specific predetermined sequence.   </w:t>
      </w:r>
    </w:p>
    <w:p w:rsidR="004A7462" w:rsidRDefault="004A7462" w:rsidP="004A7462">
      <w:pPr>
        <w:jc w:val="both"/>
      </w:pPr>
    </w:p>
    <w:p w:rsidR="004A7462" w:rsidRDefault="004A7462" w:rsidP="00712FDE">
      <w:pPr>
        <w:pStyle w:val="Heading3"/>
        <w:numPr>
          <w:ilvl w:val="0"/>
          <w:numId w:val="0"/>
        </w:numPr>
        <w:ind w:left="720" w:hanging="720"/>
      </w:pPr>
      <w:bookmarkStart w:id="2" w:name="_Toc78189071"/>
      <w:r>
        <w:t>Assumptions</w:t>
      </w:r>
      <w:bookmarkEnd w:id="2"/>
      <w:r>
        <w:fldChar w:fldCharType="begin"/>
      </w:r>
      <w:r>
        <w:instrText xml:space="preserve"> XE "Jonckheere-Terpstra test:assumptions" </w:instrText>
      </w:r>
      <w:r>
        <w:fldChar w:fldCharType="end"/>
      </w:r>
    </w:p>
    <w:p w:rsidR="004A7462" w:rsidRDefault="004A7462" w:rsidP="004A7462">
      <w:pPr>
        <w:jc w:val="both"/>
      </w:pPr>
    </w:p>
    <w:p w:rsidR="004A7462" w:rsidRDefault="004A7462" w:rsidP="004A7462">
      <w:pPr>
        <w:numPr>
          <w:ilvl w:val="0"/>
          <w:numId w:val="5"/>
        </w:numPr>
        <w:jc w:val="both"/>
      </w:pPr>
      <w:r>
        <w:t>The data have been collected from a randomly selected set of observations.</w:t>
      </w:r>
    </w:p>
    <w:p w:rsidR="004A7462" w:rsidRDefault="004A7462" w:rsidP="004A7462">
      <w:pPr>
        <w:numPr>
          <w:ilvl w:val="0"/>
          <w:numId w:val="5"/>
        </w:numPr>
        <w:jc w:val="both"/>
      </w:pPr>
      <w:r>
        <w:t>The data to be analysed are continuous and at least at the ordinal</w:t>
      </w:r>
      <w:r>
        <w:fldChar w:fldCharType="begin"/>
      </w:r>
      <w:r>
        <w:instrText xml:space="preserve"> XE "Types of data:ordinal" </w:instrText>
      </w:r>
      <w:r>
        <w:fldChar w:fldCharType="end"/>
      </w:r>
      <w:r>
        <w:t xml:space="preserve"> level of measurement.</w:t>
      </w:r>
    </w:p>
    <w:p w:rsidR="004A7462" w:rsidRDefault="004A7462" w:rsidP="004A7462">
      <w:pPr>
        <w:numPr>
          <w:ilvl w:val="0"/>
          <w:numId w:val="5"/>
        </w:numPr>
        <w:jc w:val="both"/>
      </w:pPr>
      <w:r>
        <w:t xml:space="preserve">The </w:t>
      </w:r>
      <w:r>
        <w:rPr>
          <w:i/>
          <w:iCs/>
        </w:rPr>
        <w:t>k</w:t>
      </w:r>
      <w:r>
        <w:t xml:space="preserve"> groups must be ordinal with a predetermined order.</w:t>
      </w:r>
    </w:p>
    <w:p w:rsidR="004A7462" w:rsidRDefault="004A7462" w:rsidP="004A7462">
      <w:pPr>
        <w:numPr>
          <w:ilvl w:val="0"/>
          <w:numId w:val="5"/>
        </w:numPr>
        <w:jc w:val="both"/>
      </w:pPr>
      <w:r>
        <w:t>Under the null hypothesis</w:t>
      </w:r>
      <w:r>
        <w:fldChar w:fldCharType="begin"/>
      </w:r>
      <w:r>
        <w:instrText xml:space="preserve"> XE "Null hypothesis" </w:instrText>
      </w:r>
      <w:r>
        <w:fldChar w:fldCharType="end"/>
      </w:r>
      <w:r>
        <w:t xml:space="preserve"> it is assumed that each sample is from the same population.</w:t>
      </w:r>
    </w:p>
    <w:p w:rsidR="004A7462" w:rsidRDefault="004A7462" w:rsidP="004A7462">
      <w:pPr>
        <w:jc w:val="both"/>
      </w:pPr>
    </w:p>
    <w:p w:rsidR="004A7462" w:rsidRDefault="004A7462" w:rsidP="00712FDE">
      <w:pPr>
        <w:pStyle w:val="Heading3"/>
        <w:numPr>
          <w:ilvl w:val="0"/>
          <w:numId w:val="0"/>
        </w:numPr>
        <w:ind w:left="720" w:hanging="720"/>
      </w:pPr>
      <w:bookmarkStart w:id="3" w:name="_Toc78189072"/>
      <w:r>
        <w:t>Method</w:t>
      </w:r>
      <w:bookmarkEnd w:id="3"/>
      <w:r>
        <w:fldChar w:fldCharType="begin"/>
      </w:r>
      <w:r>
        <w:instrText xml:space="preserve"> XE "Jonckheere-Terpstra test:method" </w:instrText>
      </w:r>
      <w:r>
        <w:fldChar w:fldCharType="end"/>
      </w:r>
    </w:p>
    <w:p w:rsidR="004A7462" w:rsidRDefault="004A7462" w:rsidP="004A7462">
      <w:pPr>
        <w:pStyle w:val="BodyText"/>
        <w:numPr>
          <w:ilvl w:val="0"/>
          <w:numId w:val="0"/>
        </w:numPr>
      </w:pPr>
    </w:p>
    <w:p w:rsidR="004A7462" w:rsidRDefault="004A7462" w:rsidP="004A7462">
      <w:pPr>
        <w:pStyle w:val="BodyText"/>
        <w:numPr>
          <w:ilvl w:val="0"/>
          <w:numId w:val="3"/>
        </w:numPr>
        <w:tabs>
          <w:tab w:val="clear" w:pos="840"/>
          <w:tab w:val="num" w:pos="426"/>
        </w:tabs>
        <w:ind w:left="357" w:hanging="357"/>
      </w:pPr>
      <w:r>
        <w:t xml:space="preserve">Construct the null and alternative hypotheses and determine the level of significance, </w:t>
      </w:r>
      <w:r>
        <w:sym w:font="Symbol" w:char="F061"/>
      </w:r>
      <w:r>
        <w:t>.</w:t>
      </w:r>
    </w:p>
    <w:p w:rsidR="004A7462" w:rsidRDefault="004A7462" w:rsidP="004A7462">
      <w:pPr>
        <w:pStyle w:val="BodyText"/>
        <w:numPr>
          <w:ilvl w:val="0"/>
          <w:numId w:val="3"/>
        </w:numPr>
        <w:tabs>
          <w:tab w:val="left" w:pos="357"/>
        </w:tabs>
        <w:ind w:left="357" w:hanging="357"/>
      </w:pPr>
      <w:r>
        <w:t xml:space="preserve">Specify the order of the groups, which need not be equal sized.  </w:t>
      </w:r>
    </w:p>
    <w:p w:rsidR="004A7462" w:rsidRDefault="004A7462" w:rsidP="004A7462">
      <w:pPr>
        <w:pStyle w:val="BodyText"/>
        <w:numPr>
          <w:ilvl w:val="0"/>
          <w:numId w:val="3"/>
        </w:numPr>
        <w:tabs>
          <w:tab w:val="left" w:pos="357"/>
        </w:tabs>
        <w:ind w:left="357" w:hanging="357"/>
      </w:pPr>
      <w:r>
        <w:t>Cast the data into a two-way table with the groups in the pre-specified order, arranged from smallest to largest.</w:t>
      </w:r>
    </w:p>
    <w:p w:rsidR="004A7462" w:rsidRDefault="004A7462" w:rsidP="004A7462">
      <w:pPr>
        <w:pStyle w:val="BodyText"/>
        <w:numPr>
          <w:ilvl w:val="0"/>
          <w:numId w:val="3"/>
        </w:numPr>
        <w:tabs>
          <w:tab w:val="left" w:pos="357"/>
        </w:tabs>
        <w:ind w:left="357" w:hanging="357"/>
      </w:pPr>
      <w:r>
        <w:t xml:space="preserve">Within each group order the data from smallest to largest.  </w:t>
      </w:r>
    </w:p>
    <w:p w:rsidR="004A7462" w:rsidRDefault="004A7462" w:rsidP="004A7462">
      <w:pPr>
        <w:pStyle w:val="BodyText"/>
        <w:numPr>
          <w:ilvl w:val="0"/>
          <w:numId w:val="3"/>
        </w:numPr>
        <w:tabs>
          <w:tab w:val="left" w:pos="357"/>
        </w:tabs>
        <w:ind w:left="357" w:hanging="357"/>
      </w:pPr>
      <w:r>
        <w:t xml:space="preserve">Count the total number of times each value in the first group precedes (is lower than) a value in the subsequent groups this is the precedent count for the group.  </w:t>
      </w:r>
    </w:p>
    <w:p w:rsidR="004A7462" w:rsidRDefault="004A7462" w:rsidP="004A7462">
      <w:pPr>
        <w:pStyle w:val="BodyText"/>
        <w:numPr>
          <w:ilvl w:val="0"/>
          <w:numId w:val="3"/>
        </w:numPr>
        <w:tabs>
          <w:tab w:val="left" w:pos="357"/>
        </w:tabs>
        <w:ind w:left="357" w:hanging="357"/>
      </w:pPr>
      <w:r>
        <w:t xml:space="preserve">Add ½ to each precedent count when a tie occurs between groups.  </w:t>
      </w:r>
    </w:p>
    <w:p w:rsidR="004A7462" w:rsidRDefault="004A7462" w:rsidP="004A7462">
      <w:pPr>
        <w:pStyle w:val="BodyText"/>
        <w:numPr>
          <w:ilvl w:val="0"/>
          <w:numId w:val="3"/>
        </w:numPr>
        <w:tabs>
          <w:tab w:val="left" w:pos="357"/>
        </w:tabs>
        <w:ind w:left="357" w:hanging="357"/>
      </w:pPr>
      <w:r>
        <w:t xml:space="preserve">Find the precedent count for the remaining groups and sum over the groups to give </w:t>
      </w:r>
      <w:r>
        <w:rPr>
          <w:i/>
          <w:iCs/>
        </w:rPr>
        <w:t>J</w:t>
      </w:r>
      <w:r>
        <w:t xml:space="preserve">, the test statistic.  </w:t>
      </w:r>
    </w:p>
    <w:p w:rsidR="004A7462" w:rsidRDefault="004A7462" w:rsidP="004A7462">
      <w:pPr>
        <w:pStyle w:val="BodyText"/>
        <w:numPr>
          <w:ilvl w:val="0"/>
          <w:numId w:val="3"/>
        </w:numPr>
        <w:tabs>
          <w:tab w:val="left" w:pos="357"/>
        </w:tabs>
        <w:ind w:left="357" w:hanging="357"/>
      </w:pPr>
      <w:r>
        <w:t xml:space="preserve">Compare this value to that in the tables for </w:t>
      </w:r>
      <w:r>
        <w:rPr>
          <w:i/>
          <w:iCs/>
        </w:rPr>
        <w:t xml:space="preserve">J </w:t>
      </w:r>
      <w:r>
        <w:t xml:space="preserve">(See Appendix XI).  If the statistic is greater than or equal to the critical value in the </w:t>
      </w:r>
      <w:proofErr w:type="spellStart"/>
      <w:r>
        <w:t>Jonckheere-Terpstra</w:t>
      </w:r>
      <w:proofErr w:type="spellEnd"/>
      <w:r>
        <w:t xml:space="preserve"> test</w:t>
      </w:r>
      <w:r>
        <w:fldChar w:fldCharType="begin"/>
      </w:r>
      <w:r>
        <w:instrText xml:space="preserve"> XE "Jonckheere-Terpstra test" </w:instrText>
      </w:r>
      <w:r>
        <w:fldChar w:fldCharType="end"/>
      </w:r>
      <w:r>
        <w:t xml:space="preserve"> tables, the result is significant.  If the result is significant, the null hypothesis</w:t>
      </w:r>
      <w:r>
        <w:fldChar w:fldCharType="begin"/>
      </w:r>
      <w:r>
        <w:instrText xml:space="preserve"> XE "Null hypothesis" </w:instrText>
      </w:r>
      <w:r>
        <w:fldChar w:fldCharType="end"/>
      </w:r>
      <w:r>
        <w:t xml:space="preserve"> is rejected in favour of the alternative hypothesis.</w:t>
      </w:r>
    </w:p>
    <w:p w:rsidR="004A7462" w:rsidRDefault="004A7462" w:rsidP="004A7462">
      <w:pPr>
        <w:pStyle w:val="BodyText"/>
        <w:numPr>
          <w:ilvl w:val="0"/>
          <w:numId w:val="0"/>
        </w:numPr>
      </w:pPr>
    </w:p>
    <w:p w:rsidR="004A7462" w:rsidRDefault="004A7462" w:rsidP="00712FDE">
      <w:pPr>
        <w:pStyle w:val="Heading3"/>
        <w:numPr>
          <w:ilvl w:val="0"/>
          <w:numId w:val="0"/>
        </w:numPr>
        <w:ind w:left="720" w:hanging="720"/>
      </w:pPr>
      <w:bookmarkStart w:id="4" w:name="_Toc78189073"/>
      <w:r>
        <w:t>Large sample size</w:t>
      </w:r>
      <w:bookmarkEnd w:id="4"/>
      <w:r>
        <w:fldChar w:fldCharType="begin"/>
      </w:r>
      <w:r>
        <w:instrText xml:space="preserve"> XE "Jonckheere-Terpstra test:large sample size" </w:instrText>
      </w:r>
      <w:r>
        <w:fldChar w:fldCharType="end"/>
      </w:r>
    </w:p>
    <w:p w:rsidR="004A7462" w:rsidRDefault="004A7462" w:rsidP="004A7462">
      <w:pPr>
        <w:pStyle w:val="BodyText"/>
        <w:numPr>
          <w:ilvl w:val="0"/>
          <w:numId w:val="0"/>
        </w:numPr>
        <w:rPr>
          <w:b/>
          <w:bCs/>
        </w:rPr>
      </w:pPr>
    </w:p>
    <w:p w:rsidR="00712FDE" w:rsidRDefault="004A7462" w:rsidP="004A7462">
      <w:pPr>
        <w:pStyle w:val="BodyText"/>
        <w:numPr>
          <w:ilvl w:val="0"/>
          <w:numId w:val="0"/>
        </w:numPr>
      </w:pPr>
      <w:r>
        <w:lastRenderedPageBreak/>
        <w:t xml:space="preserve">When the sample size is large the distribution of </w:t>
      </w:r>
      <w:r>
        <w:rPr>
          <w:i/>
          <w:iCs/>
        </w:rPr>
        <w:t>J</w:t>
      </w:r>
      <w:r>
        <w:t xml:space="preserve"> tends to a normal distribution, with mean </w:t>
      </w:r>
      <w:r>
        <w:rPr>
          <w:position w:val="-24"/>
        </w:rPr>
        <w:object w:dxaOrig="16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50pt" o:ole="">
            <v:imagedata r:id="rId6" o:title=""/>
          </v:shape>
          <o:OLEObject Type="Embed" ProgID="Equation.DSMT4" ShapeID="_x0000_i1025" DrawAspect="Content" ObjectID="_1378819234" r:id="rId7"/>
        </w:object>
      </w:r>
      <w:r>
        <w:t xml:space="preserve"> and standard deviation </w:t>
      </w:r>
      <w:r>
        <w:rPr>
          <w:position w:val="-26"/>
        </w:rPr>
        <w:object w:dxaOrig="3620" w:dyaOrig="1060">
          <v:shape id="_x0000_i1026" type="#_x0000_t75" style="width:181pt;height:53pt" o:ole="">
            <v:imagedata r:id="rId8" o:title=""/>
          </v:shape>
          <o:OLEObject Type="Embed" ProgID="Equation.DSMT4" ShapeID="_x0000_i1026" DrawAspect="Content" ObjectID="_1378819235" r:id="rId9"/>
        </w:object>
      </w:r>
      <w:r>
        <w:t xml:space="preserve">.  </w:t>
      </w:r>
    </w:p>
    <w:p w:rsidR="00712FDE" w:rsidRDefault="00712FDE" w:rsidP="004A7462">
      <w:pPr>
        <w:pStyle w:val="BodyText"/>
        <w:numPr>
          <w:ilvl w:val="0"/>
          <w:numId w:val="0"/>
        </w:numPr>
      </w:pPr>
    </w:p>
    <w:p w:rsidR="00712FDE" w:rsidRDefault="00712FDE" w:rsidP="004A7462">
      <w:pPr>
        <w:pStyle w:val="BodyText"/>
        <w:numPr>
          <w:ilvl w:val="0"/>
          <w:numId w:val="0"/>
        </w:numPr>
      </w:pPr>
    </w:p>
    <w:p w:rsidR="004A7462" w:rsidRDefault="004A7462" w:rsidP="004A7462">
      <w:pPr>
        <w:pStyle w:val="BodyText"/>
        <w:numPr>
          <w:ilvl w:val="0"/>
          <w:numId w:val="0"/>
        </w:numPr>
      </w:pPr>
      <w:r>
        <w:t>Where,</w:t>
      </w:r>
    </w:p>
    <w:p w:rsidR="004A7462" w:rsidRDefault="004A7462" w:rsidP="004A7462">
      <w:pPr>
        <w:pStyle w:val="BodyText"/>
        <w:numPr>
          <w:ilvl w:val="0"/>
          <w:numId w:val="0"/>
        </w:numPr>
      </w:pPr>
      <w:r>
        <w:rPr>
          <w:i/>
          <w:iCs/>
        </w:rPr>
        <w:t xml:space="preserve">N </w:t>
      </w:r>
      <w:r>
        <w:t>= total sample size</w:t>
      </w:r>
    </w:p>
    <w:p w:rsidR="004A7462" w:rsidRDefault="004A7462" w:rsidP="004A7462">
      <w:pPr>
        <w:pStyle w:val="BodyText"/>
        <w:numPr>
          <w:ilvl w:val="0"/>
          <w:numId w:val="0"/>
        </w:numPr>
      </w:pPr>
      <w:proofErr w:type="spellStart"/>
      <w:proofErr w:type="gramStart"/>
      <w:r>
        <w:rPr>
          <w:i/>
          <w:iCs/>
        </w:rPr>
        <w:t>n</w:t>
      </w:r>
      <w:r>
        <w:rPr>
          <w:i/>
          <w:iCs/>
          <w:vertAlign w:val="subscript"/>
        </w:rPr>
        <w:t>j</w:t>
      </w:r>
      <w:proofErr w:type="spellEnd"/>
      <w:proofErr w:type="gramEnd"/>
      <w:r>
        <w:rPr>
          <w:i/>
          <w:iCs/>
          <w:vertAlign w:val="subscript"/>
        </w:rPr>
        <w:t xml:space="preserve"> </w:t>
      </w:r>
      <w:r>
        <w:t>= sample size of group j</w:t>
      </w:r>
    </w:p>
    <w:p w:rsidR="004A7462" w:rsidRDefault="004A7462" w:rsidP="004A7462">
      <w:pPr>
        <w:pStyle w:val="BodyText"/>
        <w:numPr>
          <w:ilvl w:val="0"/>
          <w:numId w:val="0"/>
        </w:numPr>
      </w:pPr>
      <w:proofErr w:type="gramStart"/>
      <w:r>
        <w:rPr>
          <w:i/>
          <w:iCs/>
        </w:rPr>
        <w:t>k</w:t>
      </w:r>
      <w:proofErr w:type="gramEnd"/>
      <w:r>
        <w:rPr>
          <w:i/>
          <w:iCs/>
        </w:rPr>
        <w:t xml:space="preserve"> </w:t>
      </w:r>
      <w:r>
        <w:t>= number of groups</w:t>
      </w:r>
    </w:p>
    <w:p w:rsidR="004A7462" w:rsidRDefault="004A7462" w:rsidP="004A7462">
      <w:pPr>
        <w:pStyle w:val="BodyText"/>
        <w:numPr>
          <w:ilvl w:val="0"/>
          <w:numId w:val="0"/>
        </w:numPr>
      </w:pPr>
      <w:r>
        <w:rPr>
          <w:i/>
          <w:iCs/>
        </w:rPr>
        <w:t>Σ</w:t>
      </w:r>
      <w:r>
        <w:t xml:space="preserve"> = sum across groups.</w:t>
      </w:r>
    </w:p>
    <w:p w:rsidR="004A7462" w:rsidRDefault="004A7462" w:rsidP="004A7462">
      <w:pPr>
        <w:pStyle w:val="BodyText"/>
        <w:numPr>
          <w:ilvl w:val="0"/>
          <w:numId w:val="0"/>
        </w:numPr>
      </w:pPr>
    </w:p>
    <w:p w:rsidR="004A7462" w:rsidRDefault="004A7462" w:rsidP="004A7462">
      <w:pPr>
        <w:pStyle w:val="BodyText"/>
        <w:numPr>
          <w:ilvl w:val="0"/>
          <w:numId w:val="0"/>
        </w:numPr>
      </w:pPr>
      <w:r>
        <w:t xml:space="preserve">A </w:t>
      </w:r>
      <w:r>
        <w:rPr>
          <w:i/>
          <w:iCs/>
        </w:rPr>
        <w:t>z</w:t>
      </w:r>
      <w:r>
        <w:t xml:space="preserve"> statistic can then be calculated as follows: </w:t>
      </w:r>
      <w:r>
        <w:rPr>
          <w:position w:val="-32"/>
        </w:rPr>
        <w:object w:dxaOrig="1120" w:dyaOrig="740">
          <v:shape id="_x0000_i1027" type="#_x0000_t75" style="width:56pt;height:37pt" o:ole="">
            <v:imagedata r:id="rId10" o:title=""/>
          </v:shape>
          <o:OLEObject Type="Embed" ProgID="Equation.DSMT4" ShapeID="_x0000_i1027" DrawAspect="Content" ObjectID="_1378819236" r:id="rId11"/>
        </w:object>
      </w:r>
      <w:r>
        <w:t xml:space="preserve">.  </w:t>
      </w:r>
    </w:p>
    <w:p w:rsidR="004A7462" w:rsidRDefault="004A7462" w:rsidP="004A7462">
      <w:pPr>
        <w:pStyle w:val="BodyText"/>
        <w:numPr>
          <w:ilvl w:val="0"/>
          <w:numId w:val="0"/>
        </w:numPr>
      </w:pPr>
      <w:r>
        <w:t xml:space="preserve">This </w:t>
      </w:r>
      <w:r>
        <w:rPr>
          <w:i/>
          <w:iCs/>
        </w:rPr>
        <w:t>z</w:t>
      </w:r>
      <w:r>
        <w:t xml:space="preserve"> statistic can then be compared to the normal tables. </w:t>
      </w:r>
    </w:p>
    <w:p w:rsidR="004A7462" w:rsidRDefault="004A7462" w:rsidP="004A7462">
      <w:pPr>
        <w:pStyle w:val="BodyText"/>
        <w:numPr>
          <w:ilvl w:val="0"/>
          <w:numId w:val="0"/>
        </w:numPr>
      </w:pPr>
      <w:r>
        <w:t xml:space="preserve"> </w:t>
      </w:r>
    </w:p>
    <w:p w:rsidR="004A7462" w:rsidRDefault="004A7462" w:rsidP="004A7462">
      <w:pPr>
        <w:pStyle w:val="BodyText"/>
        <w:numPr>
          <w:ilvl w:val="0"/>
          <w:numId w:val="0"/>
        </w:numPr>
      </w:pPr>
    </w:p>
    <w:p w:rsidR="004A7462" w:rsidRDefault="004A7462" w:rsidP="00712FDE">
      <w:pPr>
        <w:pStyle w:val="Heading3"/>
        <w:numPr>
          <w:ilvl w:val="0"/>
          <w:numId w:val="0"/>
        </w:numPr>
        <w:ind w:left="720" w:hanging="720"/>
      </w:pPr>
      <w:bookmarkStart w:id="5" w:name="_Toc78189074"/>
      <w:r>
        <w:t>Example</w:t>
      </w:r>
      <w:bookmarkEnd w:id="5"/>
      <w:r>
        <w:fldChar w:fldCharType="begin"/>
      </w:r>
      <w:r>
        <w:instrText xml:space="preserve"> XE "Jonckheere-Terpstra test:example" </w:instrText>
      </w:r>
      <w:r>
        <w:fldChar w:fldCharType="end"/>
      </w:r>
    </w:p>
    <w:p w:rsidR="004A7462" w:rsidRDefault="004A7462" w:rsidP="004A7462"/>
    <w:p w:rsidR="004A7462" w:rsidRDefault="004A7462" w:rsidP="004A7462">
      <w:pPr>
        <w:jc w:val="both"/>
      </w:pPr>
      <w:r>
        <w:t xml:space="preserve">Mcm-2 values were collected in a breast cancer study.  The median Mcm-2 value was expected to increase with histological grade (data below).  This hypothesis was tested using the </w:t>
      </w:r>
      <w:proofErr w:type="spellStart"/>
      <w:r>
        <w:t>Jonckheere-Terpstra</w:t>
      </w:r>
      <w:proofErr w:type="spellEnd"/>
      <w:r>
        <w:t xml:space="preserve"> test</w:t>
      </w:r>
      <w:r>
        <w:fldChar w:fldCharType="begin"/>
      </w:r>
      <w:r>
        <w:instrText xml:space="preserve"> XE "Jonckheere-Terpstra test" </w:instrText>
      </w:r>
      <w:r>
        <w:fldChar w:fldCharType="end"/>
      </w:r>
      <w:r>
        <w:t>.</w:t>
      </w:r>
    </w:p>
    <w:p w:rsidR="004A7462" w:rsidRDefault="004A7462" w:rsidP="004A7462">
      <w:pPr>
        <w:jc w:val="center"/>
        <w:rPr>
          <w:b/>
          <w:bCs/>
        </w:rPr>
      </w:pPr>
    </w:p>
    <w:tbl>
      <w:tblPr>
        <w:tblW w:w="288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</w:tblGrid>
      <w:tr w:rsidR="004A7462" w:rsidTr="004A7462">
        <w:trPr>
          <w:cantSplit/>
          <w:trHeight w:val="25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</w:pPr>
            <w:r>
              <w:t>Histological grade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</w:pPr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</w:pPr>
            <w: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</w:pPr>
            <w:r>
              <w:t>3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1.99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4.40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6.94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3.01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9.82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8.04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4.17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10.23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9.82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7.13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11.99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15.75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9.82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11.99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18.30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9.91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13.17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25.01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13.20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26.40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28.17</w:t>
            </w:r>
          </w:p>
        </w:tc>
      </w:tr>
    </w:tbl>
    <w:p w:rsidR="004A7462" w:rsidRDefault="004A7462" w:rsidP="004A7462">
      <w:pPr>
        <w:pStyle w:val="BodyText"/>
        <w:numPr>
          <w:ilvl w:val="0"/>
          <w:numId w:val="0"/>
        </w:numPr>
      </w:pPr>
    </w:p>
    <w:p w:rsidR="004A7462" w:rsidRDefault="004A7462" w:rsidP="004A7462">
      <w:pPr>
        <w:pStyle w:val="BodyText"/>
        <w:numPr>
          <w:ilvl w:val="0"/>
          <w:numId w:val="6"/>
        </w:numPr>
        <w:tabs>
          <w:tab w:val="clear" w:pos="1080"/>
          <w:tab w:val="left" w:pos="357"/>
        </w:tabs>
        <w:ind w:left="357" w:hanging="357"/>
        <w:jc w:val="both"/>
      </w:pPr>
      <w:r>
        <w:t>H</w:t>
      </w:r>
      <w:r>
        <w:rPr>
          <w:vertAlign w:val="subscript"/>
        </w:rPr>
        <w:t>0</w:t>
      </w:r>
      <w:r>
        <w:t>:  The median Mcm-2 value is the same across histological grades.</w:t>
      </w:r>
    </w:p>
    <w:p w:rsidR="004A7462" w:rsidRDefault="004A7462" w:rsidP="004A7462">
      <w:pPr>
        <w:pStyle w:val="BodyText"/>
        <w:numPr>
          <w:ilvl w:val="0"/>
          <w:numId w:val="0"/>
        </w:numPr>
        <w:tabs>
          <w:tab w:val="left" w:pos="357"/>
        </w:tabs>
        <w:jc w:val="both"/>
      </w:pPr>
      <w:r>
        <w:tab/>
        <w:t>H</w:t>
      </w:r>
      <w:r>
        <w:rPr>
          <w:vertAlign w:val="subscript"/>
        </w:rPr>
        <w:t>A</w:t>
      </w:r>
      <w:r>
        <w:t>: There is an increase is median Mcm-2 value as histological grade increases.</w:t>
      </w:r>
    </w:p>
    <w:p w:rsidR="004A7462" w:rsidRDefault="004A7462" w:rsidP="004A7462">
      <w:pPr>
        <w:pStyle w:val="BodyText"/>
        <w:numPr>
          <w:ilvl w:val="0"/>
          <w:numId w:val="0"/>
        </w:numPr>
        <w:tabs>
          <w:tab w:val="left" w:pos="357"/>
        </w:tabs>
        <w:jc w:val="both"/>
      </w:pPr>
      <w:r>
        <w:tab/>
      </w:r>
      <w:r>
        <w:sym w:font="Symbol" w:char="F061"/>
      </w:r>
      <w:r>
        <w:t>=0.05.</w:t>
      </w:r>
    </w:p>
    <w:p w:rsidR="004A7462" w:rsidRDefault="004A7462" w:rsidP="004A7462">
      <w:pPr>
        <w:pStyle w:val="BodyText"/>
        <w:numPr>
          <w:ilvl w:val="0"/>
          <w:numId w:val="6"/>
        </w:numPr>
        <w:tabs>
          <w:tab w:val="clear" w:pos="1080"/>
          <w:tab w:val="left" w:pos="357"/>
        </w:tabs>
        <w:ind w:left="357" w:hanging="357"/>
        <w:jc w:val="both"/>
      </w:pPr>
      <w:r>
        <w:t xml:space="preserve">The order of the groups is that of increasing histological grade.  </w:t>
      </w:r>
    </w:p>
    <w:p w:rsidR="004A7462" w:rsidRDefault="004A7462" w:rsidP="004A7462">
      <w:pPr>
        <w:pStyle w:val="BodyText"/>
        <w:numPr>
          <w:ilvl w:val="0"/>
          <w:numId w:val="4"/>
        </w:numPr>
        <w:tabs>
          <w:tab w:val="clear" w:pos="840"/>
          <w:tab w:val="left" w:pos="357"/>
        </w:tabs>
        <w:ind w:left="357" w:hanging="357"/>
        <w:jc w:val="both"/>
      </w:pPr>
      <w:r>
        <w:t xml:space="preserve">The precedent counts for each pair of groups is in the table below.  </w:t>
      </w:r>
    </w:p>
    <w:p w:rsidR="004A7462" w:rsidRDefault="004A7462" w:rsidP="004A7462">
      <w:pPr>
        <w:pStyle w:val="BodyText"/>
        <w:numPr>
          <w:ilvl w:val="0"/>
          <w:numId w:val="4"/>
        </w:numPr>
        <w:tabs>
          <w:tab w:val="clear" w:pos="840"/>
          <w:tab w:val="left" w:pos="357"/>
        </w:tabs>
        <w:ind w:left="357" w:hanging="357"/>
        <w:jc w:val="both"/>
      </w:pPr>
      <w:r>
        <w:t>½ has been added to each precedent count with a tie between groups.</w:t>
      </w:r>
    </w:p>
    <w:p w:rsidR="004A7462" w:rsidRDefault="004A7462" w:rsidP="004A7462">
      <w:pPr>
        <w:pStyle w:val="BodyText"/>
        <w:numPr>
          <w:ilvl w:val="0"/>
          <w:numId w:val="0"/>
        </w:numPr>
      </w:pPr>
    </w:p>
    <w:tbl>
      <w:tblPr>
        <w:tblW w:w="3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227"/>
        <w:gridCol w:w="1276"/>
      </w:tblGrid>
      <w:tr w:rsidR="004A7462" w:rsidTr="004A7462">
        <w:trPr>
          <w:cantSplit/>
          <w:trHeight w:val="255"/>
          <w:jc w:val="center"/>
        </w:trPr>
        <w:tc>
          <w:tcPr>
            <w:tcW w:w="3794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712FDE">
            <w:pPr>
              <w:jc w:val="center"/>
            </w:pPr>
            <w:r>
              <w:t>Precedent counts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1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both"/>
            </w:pPr>
            <w:r>
              <w:t>Grade 1 &amp; 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both"/>
            </w:pPr>
            <w:r>
              <w:t>Grade 1 &amp; 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both"/>
            </w:pPr>
            <w:r>
              <w:t>Grade 2 &amp; 3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1291" w:type="dxa"/>
            <w:tcBorders>
              <w:top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8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1291" w:type="dxa"/>
            <w:tcBorders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7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8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5 + ½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1291" w:type="dxa"/>
            <w:tcBorders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7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8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5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1291" w:type="dxa"/>
            <w:tcBorders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6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7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5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1291" w:type="dxa"/>
            <w:tcBorders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lastRenderedPageBreak/>
              <w:t>5 + ½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5 + ½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5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1291" w:type="dxa"/>
            <w:tcBorders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5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5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1291" w:type="dxa"/>
            <w:tcBorders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</w:p>
        </w:tc>
        <w:tc>
          <w:tcPr>
            <w:tcW w:w="1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t>5</w:t>
            </w:r>
          </w:p>
        </w:tc>
      </w:tr>
      <w:tr w:rsidR="004A7462" w:rsidTr="004A7462">
        <w:trPr>
          <w:trHeight w:val="255"/>
          <w:jc w:val="center"/>
        </w:trPr>
        <w:tc>
          <w:tcPr>
            <w:tcW w:w="1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Total: 37.5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41.5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7462" w:rsidRDefault="004A7462" w:rsidP="004A7462">
            <w:pPr>
              <w:jc w:val="center"/>
            </w:pPr>
            <w:r>
              <w:t>38.5</w:t>
            </w:r>
          </w:p>
        </w:tc>
      </w:tr>
    </w:tbl>
    <w:p w:rsidR="004A7462" w:rsidRDefault="004A7462" w:rsidP="004A7462">
      <w:pPr>
        <w:pStyle w:val="BodyText"/>
        <w:numPr>
          <w:ilvl w:val="0"/>
          <w:numId w:val="0"/>
        </w:numPr>
      </w:pPr>
    </w:p>
    <w:p w:rsidR="004A7462" w:rsidRDefault="004A7462" w:rsidP="004A7462">
      <w:pPr>
        <w:pStyle w:val="BodyText"/>
        <w:numPr>
          <w:ilvl w:val="0"/>
          <w:numId w:val="4"/>
        </w:numPr>
        <w:tabs>
          <w:tab w:val="clear" w:pos="840"/>
          <w:tab w:val="num" w:leader="none" w:pos="357"/>
        </w:tabs>
        <w:ind w:left="357" w:hanging="357"/>
      </w:pPr>
      <w:r>
        <w:rPr>
          <w:i/>
          <w:iCs/>
        </w:rPr>
        <w:t>J</w:t>
      </w:r>
      <w:r>
        <w:t xml:space="preserve"> = 37.5 + 41.5 + 38.5 = 117.5.</w:t>
      </w:r>
    </w:p>
    <w:p w:rsidR="004A7462" w:rsidRDefault="004A7462" w:rsidP="004A7462">
      <w:pPr>
        <w:pStyle w:val="BodyText"/>
        <w:numPr>
          <w:ilvl w:val="0"/>
          <w:numId w:val="4"/>
        </w:numPr>
        <w:tabs>
          <w:tab w:val="clear" w:pos="840"/>
          <w:tab w:val="num" w:leader="none" w:pos="357"/>
        </w:tabs>
        <w:ind w:left="357" w:hanging="357"/>
        <w:jc w:val="both"/>
      </w:pPr>
      <w:r>
        <w:t>From the tables (</w:t>
      </w:r>
      <w:r>
        <w:rPr>
          <w:i/>
          <w:iCs/>
        </w:rPr>
        <w:t>n</w:t>
      </w:r>
      <w:r>
        <w:rPr>
          <w:i/>
          <w:iCs/>
          <w:vertAlign w:val="subscript"/>
        </w:rPr>
        <w:t>1</w:t>
      </w:r>
      <w:r>
        <w:t xml:space="preserve">=6, </w:t>
      </w:r>
      <w:r>
        <w:rPr>
          <w:i/>
          <w:iCs/>
        </w:rPr>
        <w:t>n</w:t>
      </w:r>
      <w:r>
        <w:rPr>
          <w:i/>
          <w:iCs/>
          <w:vertAlign w:val="subscript"/>
        </w:rPr>
        <w:t>2</w:t>
      </w:r>
      <w:r>
        <w:t xml:space="preserve">=7, </w:t>
      </w:r>
      <w:r>
        <w:rPr>
          <w:i/>
          <w:iCs/>
        </w:rPr>
        <w:t>n</w:t>
      </w:r>
      <w:r>
        <w:rPr>
          <w:i/>
          <w:iCs/>
          <w:vertAlign w:val="subscript"/>
        </w:rPr>
        <w:t>3</w:t>
      </w:r>
      <w:r>
        <w:t xml:space="preserve">=8, </w:t>
      </w:r>
      <w:r>
        <w:sym w:font="Symbol" w:char="F061"/>
      </w:r>
      <w:r>
        <w:t>=0.05) the critical value is 99.  As 117.5&gt;99, there is sufficient evidence to reject</w:t>
      </w:r>
      <w:r>
        <w:rPr>
          <w:b/>
          <w:bCs/>
        </w:rPr>
        <w:t xml:space="preserve"> </w:t>
      </w:r>
      <w:r>
        <w:t>the null hypothesis</w:t>
      </w:r>
      <w:r>
        <w:fldChar w:fldCharType="begin"/>
      </w:r>
      <w:r>
        <w:instrText xml:space="preserve"> XE "Null hypothesis" </w:instrText>
      </w:r>
      <w:r>
        <w:fldChar w:fldCharType="end"/>
      </w:r>
      <w:r>
        <w:t xml:space="preserve"> and conclude that there is a significant increase in median Mcm-2 value as histological grade increases. </w:t>
      </w:r>
    </w:p>
    <w:p w:rsidR="004A7462" w:rsidRDefault="004A7462" w:rsidP="004A7462">
      <w:pPr>
        <w:jc w:val="both"/>
      </w:pPr>
    </w:p>
    <w:p w:rsidR="004A7462" w:rsidRDefault="004A7462" w:rsidP="004A7462">
      <w:pPr>
        <w:jc w:val="both"/>
      </w:pPr>
    </w:p>
    <w:p w:rsidR="004A7462" w:rsidRDefault="004A7462" w:rsidP="00712FDE">
      <w:pPr>
        <w:pStyle w:val="Heading3"/>
        <w:numPr>
          <w:ilvl w:val="0"/>
          <w:numId w:val="0"/>
        </w:numPr>
        <w:ind w:left="720" w:hanging="720"/>
      </w:pPr>
      <w:bookmarkStart w:id="6" w:name="_Toc78189075"/>
      <w:r>
        <w:t>Presentation of results</w:t>
      </w:r>
      <w:bookmarkEnd w:id="6"/>
      <w:r>
        <w:fldChar w:fldCharType="begin"/>
      </w:r>
      <w:r>
        <w:instrText xml:space="preserve"> XE "Jonckheere-Terpstra test:presentation of results" </w:instrText>
      </w:r>
      <w:r>
        <w:fldChar w:fldCharType="end"/>
      </w:r>
    </w:p>
    <w:p w:rsidR="004A7462" w:rsidRDefault="004A7462" w:rsidP="004A7462">
      <w:pPr>
        <w:jc w:val="both"/>
      </w:pPr>
    </w:p>
    <w:p w:rsidR="004A7462" w:rsidRDefault="004A7462" w:rsidP="004A7462">
      <w:pPr>
        <w:jc w:val="both"/>
      </w:pPr>
      <w:r>
        <w:t xml:space="preserve">The results of the </w:t>
      </w:r>
      <w:proofErr w:type="spellStart"/>
      <w:r>
        <w:t>Jonckheere-Terpstra</w:t>
      </w:r>
      <w:proofErr w:type="spellEnd"/>
      <w:r>
        <w:t xml:space="preserve"> test</w:t>
      </w:r>
      <w:r>
        <w:fldChar w:fldCharType="begin"/>
      </w:r>
      <w:r>
        <w:instrText xml:space="preserve"> XE "Jonckheere-Terpstra test" </w:instrText>
      </w:r>
      <w:r>
        <w:fldChar w:fldCharType="end"/>
      </w:r>
      <w:r>
        <w:t xml:space="preserve"> could be reported in the following way:</w:t>
      </w:r>
    </w:p>
    <w:p w:rsidR="004A7462" w:rsidRDefault="004A7462" w:rsidP="004A7462">
      <w:pPr>
        <w:ind w:left="993"/>
        <w:jc w:val="both"/>
      </w:pPr>
    </w:p>
    <w:p w:rsidR="004A7462" w:rsidRDefault="004A7462" w:rsidP="004A7462">
      <w:pPr>
        <w:pStyle w:val="BodyText"/>
        <w:numPr>
          <w:ilvl w:val="0"/>
          <w:numId w:val="0"/>
        </w:numPr>
        <w:spacing w:after="120"/>
        <w:ind w:left="491" w:right="1219"/>
        <w:jc w:val="both"/>
      </w:pPr>
      <w:r>
        <w:t xml:space="preserve">The results of the </w:t>
      </w:r>
      <w:proofErr w:type="spellStart"/>
      <w:r>
        <w:t>Jonckheere-Terpstra</w:t>
      </w:r>
      <w:proofErr w:type="spellEnd"/>
      <w:r>
        <w:t xml:space="preserve"> test</w:t>
      </w:r>
      <w:r>
        <w:fldChar w:fldCharType="begin"/>
      </w:r>
      <w:r>
        <w:instrText xml:space="preserve"> XE "Jonckheere-Terpstra test" </w:instrText>
      </w:r>
      <w:r>
        <w:fldChar w:fldCharType="end"/>
      </w:r>
      <w:r>
        <w:t xml:space="preserve"> show that there is a trend for an increase in median Mcm-2 value as histological grade increases (</w:t>
      </w:r>
      <w:r>
        <w:rPr>
          <w:i/>
          <w:iCs/>
        </w:rPr>
        <w:t>J</w:t>
      </w:r>
      <w:r>
        <w:t>=117.5, p=0.003).</w:t>
      </w:r>
    </w:p>
    <w:p w:rsidR="004A7462" w:rsidRDefault="004A7462" w:rsidP="00712FDE">
      <w:pPr>
        <w:pStyle w:val="Heading3"/>
        <w:numPr>
          <w:ilvl w:val="0"/>
          <w:numId w:val="0"/>
        </w:numPr>
        <w:ind w:left="720" w:hanging="720"/>
      </w:pPr>
      <w:bookmarkStart w:id="7" w:name="_Toc78189076"/>
      <w:r>
        <w:t>Advantages and limitations</w:t>
      </w:r>
      <w:bookmarkEnd w:id="7"/>
      <w:r>
        <w:fldChar w:fldCharType="begin"/>
      </w:r>
      <w:r>
        <w:instrText xml:space="preserve"> XE "Jonckheere-Terpstra test:advantages and limitations" </w:instrText>
      </w:r>
      <w:r>
        <w:fldChar w:fldCharType="end"/>
      </w:r>
    </w:p>
    <w:p w:rsidR="004A7462" w:rsidRDefault="004A7462" w:rsidP="004A7462"/>
    <w:p w:rsidR="004A7462" w:rsidRDefault="004A7462" w:rsidP="004A7462">
      <w:pPr>
        <w:pStyle w:val="BodyText"/>
        <w:numPr>
          <w:ilvl w:val="0"/>
          <w:numId w:val="0"/>
        </w:numPr>
        <w:jc w:val="both"/>
      </w:pPr>
      <w:r>
        <w:t xml:space="preserve">The main advantage of the </w:t>
      </w:r>
      <w:proofErr w:type="spellStart"/>
      <w:r>
        <w:t>Jonckheere-Terpstra</w:t>
      </w:r>
      <w:proofErr w:type="spellEnd"/>
      <w:r>
        <w:t xml:space="preserve"> test</w:t>
      </w:r>
      <w:r>
        <w:fldChar w:fldCharType="begin"/>
      </w:r>
      <w:r>
        <w:instrText xml:space="preserve"> XE "Jonckheere-Terpstra test" </w:instrText>
      </w:r>
      <w:r>
        <w:fldChar w:fldCharType="end"/>
      </w:r>
      <w:r>
        <w:t xml:space="preserve"> is that unlike the Kruskal-Wallis test</w:t>
      </w:r>
      <w:r>
        <w:fldChar w:fldCharType="begin"/>
      </w:r>
      <w:r>
        <w:instrText xml:space="preserve"> XE "Kruskal-Wallis test" </w:instrText>
      </w:r>
      <w:r>
        <w:fldChar w:fldCharType="end"/>
      </w:r>
      <w:r>
        <w:t xml:space="preserve"> it allows the groups to have an order therefore it is more powerful than the Kruskal-Wallis test</w:t>
      </w:r>
      <w:r>
        <w:fldChar w:fldCharType="begin"/>
      </w:r>
      <w:r>
        <w:instrText xml:space="preserve"> XE "Kruskal-Wallis test" </w:instrText>
      </w:r>
      <w:r>
        <w:fldChar w:fldCharType="end"/>
      </w:r>
      <w:r>
        <w:t xml:space="preserve"> if the groups have a pre-specified order.  Since the </w:t>
      </w:r>
      <w:proofErr w:type="spellStart"/>
      <w:r>
        <w:t>Jonckheere-Terpstra</w:t>
      </w:r>
      <w:proofErr w:type="spellEnd"/>
      <w:r>
        <w:t xml:space="preserve"> test</w:t>
      </w:r>
      <w:r>
        <w:fldChar w:fldCharType="begin"/>
      </w:r>
      <w:r>
        <w:instrText xml:space="preserve"> XE "Jonckheere-Terpstra test" </w:instrText>
      </w:r>
      <w:r>
        <w:fldChar w:fldCharType="end"/>
      </w:r>
      <w:r>
        <w:t xml:space="preserve"> is a test for trend there is no need for post hoc tests to see where differences lie after a significant result. </w:t>
      </w:r>
    </w:p>
    <w:p w:rsidR="004A7462" w:rsidRDefault="004A7462" w:rsidP="004A7462">
      <w:pPr>
        <w:jc w:val="both"/>
      </w:pPr>
    </w:p>
    <w:p w:rsidR="004A7462" w:rsidRDefault="004A7462" w:rsidP="004A7462">
      <w:pPr>
        <w:jc w:val="both"/>
      </w:pPr>
      <w:r>
        <w:t>The main limitation of the test is that the groups must have a pre-specified or explicit order.  It is not possible to look for an order and then test for a trend.  If there is no explicit order then a Kruskal-Wallis test</w:t>
      </w:r>
      <w:r>
        <w:fldChar w:fldCharType="begin"/>
      </w:r>
      <w:r>
        <w:instrText xml:space="preserve"> XE "Kruskal-Wallis test" </w:instrText>
      </w:r>
      <w:r>
        <w:fldChar w:fldCharType="end"/>
      </w:r>
      <w:r>
        <w:t xml:space="preserve"> should be used instead. </w:t>
      </w:r>
    </w:p>
    <w:p w:rsidR="004A7462" w:rsidRDefault="004A7462" w:rsidP="004A7462"/>
    <w:p w:rsidR="004A7462" w:rsidRDefault="004A7462" w:rsidP="004A7462"/>
    <w:p w:rsidR="004A7462" w:rsidRDefault="004A7462" w:rsidP="00712FDE">
      <w:pPr>
        <w:pStyle w:val="Heading3"/>
        <w:numPr>
          <w:ilvl w:val="0"/>
          <w:numId w:val="0"/>
        </w:numPr>
        <w:ind w:left="720" w:hanging="720"/>
      </w:pPr>
      <w:bookmarkStart w:id="8" w:name="_Toc78189077"/>
      <w:r>
        <w:t>Summary</w:t>
      </w:r>
      <w:bookmarkEnd w:id="8"/>
      <w:r>
        <w:fldChar w:fldCharType="begin"/>
      </w:r>
      <w:r>
        <w:instrText xml:space="preserve"> XE "Jonckheere-Terpstra test:summary" </w:instrText>
      </w:r>
      <w:r>
        <w:fldChar w:fldCharType="end"/>
      </w:r>
    </w:p>
    <w:p w:rsidR="004A7462" w:rsidRDefault="004A7462" w:rsidP="004A7462"/>
    <w:p w:rsidR="004A7462" w:rsidRDefault="004A7462" w:rsidP="004A7462">
      <w:pPr>
        <w:jc w:val="both"/>
      </w:pPr>
      <w:r>
        <w:t xml:space="preserve">The </w:t>
      </w:r>
      <w:proofErr w:type="spellStart"/>
      <w:r>
        <w:t>Jonckheere-Terpstra</w:t>
      </w:r>
      <w:proofErr w:type="spellEnd"/>
      <w:r>
        <w:t xml:space="preserve"> test</w:t>
      </w:r>
      <w:r>
        <w:fldChar w:fldCharType="begin"/>
      </w:r>
      <w:r>
        <w:instrText xml:space="preserve"> XE "Jonckheere-Terpstra test" </w:instrText>
      </w:r>
      <w:r>
        <w:fldChar w:fldCharType="end"/>
      </w:r>
      <w:r>
        <w:t xml:space="preserve"> is a more powerful alternative to the Kruskal-Wallis test</w:t>
      </w:r>
      <w:r>
        <w:fldChar w:fldCharType="begin"/>
      </w:r>
      <w:r>
        <w:instrText xml:space="preserve"> XE "Kruskal-Wallis test" </w:instrText>
      </w:r>
      <w:r>
        <w:fldChar w:fldCharType="end"/>
      </w:r>
      <w:r>
        <w:t xml:space="preserve"> when there is an explicit order to the groups.  It is a test for trend of increasing medians between the groups.  It is a much under used nonparametric test often the Kruskal-Wallis test</w:t>
      </w:r>
      <w:r>
        <w:fldChar w:fldCharType="begin"/>
      </w:r>
      <w:r>
        <w:instrText xml:space="preserve"> XE "Kruskal-Wallis test" </w:instrText>
      </w:r>
      <w:r>
        <w:fldChar w:fldCharType="end"/>
      </w:r>
      <w:r>
        <w:t xml:space="preserve"> is used where it would have been more appropriate to use the </w:t>
      </w:r>
      <w:proofErr w:type="spellStart"/>
      <w:r>
        <w:t>Jonckheere-Terpstra</w:t>
      </w:r>
      <w:proofErr w:type="spellEnd"/>
      <w:r>
        <w:t xml:space="preserve"> test</w:t>
      </w:r>
      <w:r>
        <w:fldChar w:fldCharType="begin"/>
      </w:r>
      <w:r>
        <w:instrText xml:space="preserve"> XE "Jonckheere-Terpstra test" </w:instrText>
      </w:r>
      <w:r>
        <w:fldChar w:fldCharType="end"/>
      </w:r>
      <w:r>
        <w:t>.</w:t>
      </w:r>
    </w:p>
    <w:p w:rsidR="004A7462" w:rsidRDefault="004A7462" w:rsidP="004A7462">
      <w:pPr>
        <w:jc w:val="both"/>
      </w:pPr>
    </w:p>
    <w:p w:rsidR="004A7462" w:rsidRDefault="004A7462" w:rsidP="004A7462">
      <w:pPr>
        <w:jc w:val="both"/>
      </w:pPr>
    </w:p>
    <w:p w:rsidR="004A7462" w:rsidRDefault="004A7462" w:rsidP="004A7462">
      <w:pPr>
        <w:jc w:val="both"/>
      </w:pPr>
    </w:p>
    <w:p w:rsidR="004A7462" w:rsidRDefault="004A7462" w:rsidP="00712FDE">
      <w:pPr>
        <w:pStyle w:val="Heading2"/>
        <w:numPr>
          <w:ilvl w:val="0"/>
          <w:numId w:val="0"/>
        </w:numPr>
        <w:ind w:left="576" w:hanging="576"/>
      </w:pPr>
      <w:bookmarkStart w:id="9" w:name="_Toc511540801"/>
      <w:bookmarkStart w:id="10" w:name="_Toc48543794"/>
      <w:bookmarkStart w:id="11" w:name="_Toc78189078"/>
      <w:r>
        <w:lastRenderedPageBreak/>
        <w:t>Summary of Several Independent Samples</w:t>
      </w:r>
      <w:bookmarkStart w:id="12" w:name="_GoBack"/>
      <w:bookmarkEnd w:id="9"/>
      <w:bookmarkEnd w:id="10"/>
      <w:bookmarkEnd w:id="11"/>
      <w:bookmarkEnd w:id="12"/>
      <w:r>
        <w:fldChar w:fldCharType="begin"/>
      </w:r>
      <w:r>
        <w:instrText xml:space="preserve"> XE "Several independent samples:summary" </w:instrText>
      </w:r>
      <w:r>
        <w:fldChar w:fldCharType="end"/>
      </w:r>
    </w:p>
    <w:p w:rsidR="004A7462" w:rsidRDefault="004A7462" w:rsidP="004A7462">
      <w:pPr>
        <w:jc w:val="both"/>
      </w:pPr>
    </w:p>
    <w:p w:rsidR="004A7462" w:rsidRDefault="004A7462" w:rsidP="004A7462">
      <w:pPr>
        <w:jc w:val="both"/>
      </w:pPr>
      <w:r>
        <w:t>In this section, five tests for use when the independent variable has more than two groups have been covered.  The Chi-Square test</w:t>
      </w:r>
      <w:r>
        <w:fldChar w:fldCharType="begin"/>
      </w:r>
      <w:r>
        <w:instrText xml:space="preserve"> XE "Chi-square test" </w:instrText>
      </w:r>
      <w:r>
        <w:fldChar w:fldCharType="end"/>
      </w:r>
      <w:r>
        <w:t xml:space="preserve"> and the Mantel-</w:t>
      </w:r>
      <w:proofErr w:type="spellStart"/>
      <w:r>
        <w:t>Haenszel</w:t>
      </w:r>
      <w:proofErr w:type="spellEnd"/>
      <w:r>
        <w:t xml:space="preserve"> test are to be used when the dependent variable is categorical</w:t>
      </w:r>
      <w:r>
        <w:fldChar w:fldCharType="begin"/>
      </w:r>
      <w:r>
        <w:instrText xml:space="preserve"> XE "Categorical" </w:instrText>
      </w:r>
      <w:r>
        <w:fldChar w:fldCharType="end"/>
      </w:r>
      <w:r>
        <w:t>.  The Median and Kruskal-Wallis</w:t>
      </w:r>
      <w:r>
        <w:fldChar w:fldCharType="begin"/>
      </w:r>
      <w:r>
        <w:instrText xml:space="preserve"> XE "Kruskal-Wallis" </w:instrText>
      </w:r>
      <w:r>
        <w:fldChar w:fldCharType="end"/>
      </w:r>
      <w:r>
        <w:t xml:space="preserve"> tests are to be used when the dependent variable is continuous but there is no order to the groups.  The </w:t>
      </w:r>
      <w:proofErr w:type="spellStart"/>
      <w:r>
        <w:t>Jonckheere-Terpstra</w:t>
      </w:r>
      <w:proofErr w:type="spellEnd"/>
      <w:r>
        <w:t xml:space="preserve"> test is more powerful if there is an order to the groups. </w:t>
      </w:r>
    </w:p>
    <w:p w:rsidR="004A7462" w:rsidRDefault="004A7462" w:rsidP="004A7462">
      <w:pPr>
        <w:jc w:val="both"/>
      </w:pPr>
    </w:p>
    <w:p w:rsidR="00732D28" w:rsidRDefault="004A7462" w:rsidP="004A7462">
      <w:r>
        <w:t>If the assumptions of the Kruskal-Wallis</w:t>
      </w:r>
      <w:r>
        <w:fldChar w:fldCharType="begin"/>
      </w:r>
      <w:r>
        <w:instrText xml:space="preserve"> XE "Kruskal-Wallis" </w:instrText>
      </w:r>
      <w:r>
        <w:fldChar w:fldCharType="end"/>
      </w:r>
      <w:r>
        <w:t xml:space="preserve"> test are satisfied, it is more powerful to use this test than the Median Test</w:t>
      </w:r>
      <w:r>
        <w:fldChar w:fldCharType="begin"/>
      </w:r>
      <w:r>
        <w:instrText xml:space="preserve"> XE "Median test" </w:instrText>
      </w:r>
      <w:r>
        <w:fldChar w:fldCharType="end"/>
      </w:r>
      <w:r>
        <w:t>.  That is the Kruskal-Wallis test is more likely to correctly reject the null hypothesis</w:t>
      </w:r>
      <w:r>
        <w:fldChar w:fldCharType="begin"/>
      </w:r>
      <w:r>
        <w:instrText xml:space="preserve"> XE "Null hypothesis" </w:instrText>
      </w:r>
      <w:r>
        <w:fldChar w:fldCharType="end"/>
      </w:r>
      <w:r>
        <w:t xml:space="preserve">.  </w:t>
      </w:r>
    </w:p>
    <w:sectPr w:rsidR="00732D28" w:rsidSect="00C843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89A"/>
    <w:multiLevelType w:val="singleLevel"/>
    <w:tmpl w:val="A6C6AE78"/>
    <w:lvl w:ilvl="0">
      <w:start w:val="1"/>
      <w:numFmt w:val="decimal"/>
      <w:pStyle w:val="BodyTex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B7C3A01"/>
    <w:multiLevelType w:val="hybridMultilevel"/>
    <w:tmpl w:val="D33C5D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27A5D9F"/>
    <w:multiLevelType w:val="hybridMultilevel"/>
    <w:tmpl w:val="D0969C10"/>
    <w:lvl w:ilvl="0" w:tplc="F8300CA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564AAE"/>
    <w:multiLevelType w:val="multilevel"/>
    <w:tmpl w:val="0C0EC5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49C3E14"/>
    <w:multiLevelType w:val="hybridMultilevel"/>
    <w:tmpl w:val="6EC295C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4DD731D"/>
    <w:multiLevelType w:val="hybridMultilevel"/>
    <w:tmpl w:val="02DE4016"/>
    <w:lvl w:ilvl="0" w:tplc="E23CDD34">
      <w:start w:val="5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62"/>
    <w:rsid w:val="004A7462"/>
    <w:rsid w:val="00712FDE"/>
    <w:rsid w:val="00732D28"/>
    <w:rsid w:val="00C8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0B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462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A7462"/>
    <w:pPr>
      <w:keepNext/>
      <w:numPr>
        <w:numId w:val="2"/>
      </w:numPr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link w:val="Heading2Char"/>
    <w:qFormat/>
    <w:rsid w:val="004A7462"/>
    <w:pPr>
      <w:keepNext/>
      <w:numPr>
        <w:ilvl w:val="1"/>
        <w:numId w:val="2"/>
      </w:numPr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4A7462"/>
    <w:pPr>
      <w:keepNext/>
      <w:numPr>
        <w:ilvl w:val="2"/>
        <w:numId w:val="2"/>
      </w:num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4A7462"/>
    <w:pPr>
      <w:keepNext/>
      <w:numPr>
        <w:ilvl w:val="3"/>
        <w:numId w:val="2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A7462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A7462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A7462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4A7462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4A7462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7462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A7462"/>
    <w:rPr>
      <w:rFonts w:ascii="Times New Roman" w:eastAsia="Times New Roman" w:hAnsi="Times New Roman" w:cs="Times New Roman"/>
      <w:b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4A7462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4A7462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4A7462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4A7462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4A746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A746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A7462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semiHidden/>
    <w:rsid w:val="004A7462"/>
    <w:pPr>
      <w:numPr>
        <w:numId w:val="1"/>
      </w:numPr>
    </w:pPr>
  </w:style>
  <w:style w:type="character" w:customStyle="1" w:styleId="BodyTextChar">
    <w:name w:val="Body Text Char"/>
    <w:basedOn w:val="DefaultParagraphFont"/>
    <w:link w:val="BodyText"/>
    <w:semiHidden/>
    <w:rsid w:val="004A7462"/>
    <w:rPr>
      <w:rFonts w:ascii="Times New Roman" w:eastAsia="Times New Roman" w:hAnsi="Times New Roman" w:cs="Times New Roman"/>
      <w:szCs w:val="20"/>
    </w:rPr>
  </w:style>
  <w:style w:type="character" w:styleId="Emphasis">
    <w:name w:val="Emphasis"/>
    <w:basedOn w:val="DefaultParagraphFont"/>
    <w:qFormat/>
    <w:rsid w:val="004A7462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462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A7462"/>
    <w:pPr>
      <w:keepNext/>
      <w:numPr>
        <w:numId w:val="2"/>
      </w:numPr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link w:val="Heading2Char"/>
    <w:qFormat/>
    <w:rsid w:val="004A7462"/>
    <w:pPr>
      <w:keepNext/>
      <w:numPr>
        <w:ilvl w:val="1"/>
        <w:numId w:val="2"/>
      </w:numPr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4A7462"/>
    <w:pPr>
      <w:keepNext/>
      <w:numPr>
        <w:ilvl w:val="2"/>
        <w:numId w:val="2"/>
      </w:num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4A7462"/>
    <w:pPr>
      <w:keepNext/>
      <w:numPr>
        <w:ilvl w:val="3"/>
        <w:numId w:val="2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A7462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A7462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A7462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4A7462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4A7462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7462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A7462"/>
    <w:rPr>
      <w:rFonts w:ascii="Times New Roman" w:eastAsia="Times New Roman" w:hAnsi="Times New Roman" w:cs="Times New Roman"/>
      <w:b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4A7462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4A7462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4A7462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4A7462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4A746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A746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A7462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semiHidden/>
    <w:rsid w:val="004A7462"/>
    <w:pPr>
      <w:numPr>
        <w:numId w:val="1"/>
      </w:numPr>
    </w:pPr>
  </w:style>
  <w:style w:type="character" w:customStyle="1" w:styleId="BodyTextChar">
    <w:name w:val="Body Text Char"/>
    <w:basedOn w:val="DefaultParagraphFont"/>
    <w:link w:val="BodyText"/>
    <w:semiHidden/>
    <w:rsid w:val="004A7462"/>
    <w:rPr>
      <w:rFonts w:ascii="Times New Roman" w:eastAsia="Times New Roman" w:hAnsi="Times New Roman" w:cs="Times New Roman"/>
      <w:szCs w:val="20"/>
    </w:rPr>
  </w:style>
  <w:style w:type="character" w:styleId="Emphasis">
    <w:name w:val="Emphasis"/>
    <w:basedOn w:val="DefaultParagraphFont"/>
    <w:qFormat/>
    <w:rsid w:val="004A746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997</Words>
  <Characters>5689</Characters>
  <Application>Microsoft Macintosh Word</Application>
  <DocSecurity>0</DocSecurity>
  <Lines>47</Lines>
  <Paragraphs>13</Paragraphs>
  <ScaleCrop>false</ScaleCrop>
  <Company>CI</Company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Vowler</dc:creator>
  <cp:keywords/>
  <dc:description/>
  <cp:lastModifiedBy>Sarah Vowler</cp:lastModifiedBy>
  <cp:revision>1</cp:revision>
  <dcterms:created xsi:type="dcterms:W3CDTF">2015-09-28T12:40:00Z</dcterms:created>
  <dcterms:modified xsi:type="dcterms:W3CDTF">2015-09-28T15:34:00Z</dcterms:modified>
</cp:coreProperties>
</file>