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A8" w:rsidRDefault="00D97BA8" w:rsidP="00D97BA8">
      <w:pPr>
        <w:pStyle w:val="Heading2"/>
      </w:pPr>
      <w:bookmarkStart w:id="0" w:name="_Toc511540765"/>
      <w:r>
        <w:t>Kruskal-Wallis</w:t>
      </w:r>
      <w:bookmarkEnd w:id="0"/>
      <w:r>
        <w:t xml:space="preserve"> Test</w:t>
      </w:r>
    </w:p>
    <w:p w:rsidR="00D97BA8" w:rsidRDefault="00D97BA8" w:rsidP="00D97BA8">
      <w:pPr>
        <w:jc w:val="both"/>
        <w:rPr>
          <w:sz w:val="32"/>
        </w:rPr>
      </w:pPr>
      <w:r>
        <w:rPr>
          <w:sz w:val="32"/>
        </w:rPr>
        <w:t xml:space="preserve">This tests if </w:t>
      </w:r>
      <w:r>
        <w:rPr>
          <w:i/>
          <w:sz w:val="32"/>
        </w:rPr>
        <w:t>k</w:t>
      </w:r>
      <w:r>
        <w:rPr>
          <w:sz w:val="32"/>
        </w:rPr>
        <w:t xml:space="preserve"> independent samples are drawn from the same population.  As the Kruskal-Wallis test ranks the values, it is more powerful than the Median test.  The Kruskal-Wallis test is derived from the one-way ANOVA, but uses ranks rather than actual observations.  It is also the extension of the Mann-Whitney U test.</w:t>
      </w:r>
    </w:p>
    <w:p w:rsidR="00D97BA8" w:rsidRDefault="00D97BA8" w:rsidP="00D97BA8">
      <w:pPr>
        <w:jc w:val="both"/>
        <w:rPr>
          <w:sz w:val="32"/>
        </w:rPr>
      </w:pPr>
    </w:p>
    <w:p w:rsidR="00D97BA8" w:rsidRDefault="00D97BA8" w:rsidP="00D97BA8">
      <w:pPr>
        <w:jc w:val="both"/>
        <w:rPr>
          <w:sz w:val="32"/>
        </w:rPr>
      </w:pPr>
      <w:r>
        <w:rPr>
          <w:sz w:val="32"/>
        </w:rPr>
        <w:t>The assumptions of the Kruskal-Wallis test are:</w:t>
      </w:r>
    </w:p>
    <w:p w:rsidR="00D97BA8" w:rsidRDefault="00D97BA8" w:rsidP="00D97BA8">
      <w:pPr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The data have been collected from a randomly selected set of observations.</w:t>
      </w:r>
    </w:p>
    <w:p w:rsidR="00D97BA8" w:rsidRDefault="00D97BA8" w:rsidP="00D97BA8">
      <w:pPr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The dependent variable is at least at the ordinal level of measurement.</w:t>
      </w:r>
    </w:p>
    <w:p w:rsidR="00D97BA8" w:rsidRDefault="00D97BA8" w:rsidP="00D97BA8">
      <w:pPr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There are more than two independent groups.</w:t>
      </w:r>
    </w:p>
    <w:p w:rsidR="00D97BA8" w:rsidRDefault="00D97BA8" w:rsidP="00D97BA8">
      <w:pPr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There is independence of observations within each group and between the groups.  There are no repeated measures or multiple response categories.</w:t>
      </w:r>
    </w:p>
    <w:p w:rsidR="00D97BA8" w:rsidRDefault="00D97BA8" w:rsidP="00D97BA8">
      <w:pPr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The shapes of the distributions of the groups are similar.</w:t>
      </w:r>
    </w:p>
    <w:p w:rsidR="00D97BA8" w:rsidRDefault="00D97BA8" w:rsidP="00D97BA8">
      <w:pPr>
        <w:jc w:val="both"/>
        <w:rPr>
          <w:sz w:val="32"/>
        </w:rPr>
      </w:pPr>
    </w:p>
    <w:p w:rsidR="00D97BA8" w:rsidRDefault="00D97BA8" w:rsidP="00D97BA8">
      <w:pPr>
        <w:jc w:val="both"/>
        <w:rPr>
          <w:sz w:val="32"/>
        </w:rPr>
      </w:pPr>
      <w:r>
        <w:rPr>
          <w:sz w:val="32"/>
        </w:rPr>
        <w:t>If the last assumption holds then the hypotheses are:</w:t>
      </w:r>
    </w:p>
    <w:p w:rsidR="00D97BA8" w:rsidRDefault="00D97BA8" w:rsidP="00D97BA8">
      <w:pPr>
        <w:jc w:val="both"/>
        <w:rPr>
          <w:sz w:val="32"/>
        </w:rPr>
      </w:pPr>
      <w:r>
        <w:rPr>
          <w:sz w:val="32"/>
        </w:rPr>
        <w:t>H</w:t>
      </w:r>
      <w:r>
        <w:rPr>
          <w:sz w:val="32"/>
          <w:vertAlign w:val="subscript"/>
        </w:rPr>
        <w:t>0</w:t>
      </w:r>
      <w:r>
        <w:rPr>
          <w:sz w:val="32"/>
        </w:rPr>
        <w:t xml:space="preserve">: The medians in the </w:t>
      </w:r>
      <w:r>
        <w:rPr>
          <w:i/>
          <w:iCs/>
          <w:sz w:val="32"/>
        </w:rPr>
        <w:t>k</w:t>
      </w:r>
      <w:r>
        <w:rPr>
          <w:sz w:val="32"/>
        </w:rPr>
        <w:t xml:space="preserve"> groups are equal.</w:t>
      </w:r>
    </w:p>
    <w:p w:rsidR="00D97BA8" w:rsidRDefault="00D97BA8" w:rsidP="00D97BA8">
      <w:pPr>
        <w:jc w:val="both"/>
        <w:rPr>
          <w:sz w:val="32"/>
        </w:rPr>
      </w:pPr>
      <w:r>
        <w:rPr>
          <w:sz w:val="32"/>
        </w:rPr>
        <w:t>H</w:t>
      </w:r>
      <w:r>
        <w:rPr>
          <w:sz w:val="32"/>
          <w:vertAlign w:val="subscript"/>
        </w:rPr>
        <w:t>A</w:t>
      </w:r>
      <w:r>
        <w:rPr>
          <w:sz w:val="32"/>
        </w:rPr>
        <w:t xml:space="preserve">: There is a difference in medians between the </w:t>
      </w:r>
      <w:r>
        <w:rPr>
          <w:i/>
          <w:iCs/>
          <w:sz w:val="32"/>
        </w:rPr>
        <w:t>k</w:t>
      </w:r>
      <w:r>
        <w:rPr>
          <w:sz w:val="32"/>
        </w:rPr>
        <w:t xml:space="preserve"> groups.</w:t>
      </w:r>
    </w:p>
    <w:p w:rsidR="00D97BA8" w:rsidRDefault="00D97BA8" w:rsidP="00D97BA8">
      <w:pPr>
        <w:jc w:val="both"/>
        <w:rPr>
          <w:sz w:val="32"/>
        </w:rPr>
      </w:pPr>
    </w:p>
    <w:p w:rsidR="00D97BA8" w:rsidRDefault="00D97BA8" w:rsidP="00D97BA8">
      <w:pPr>
        <w:jc w:val="both"/>
        <w:rPr>
          <w:sz w:val="32"/>
        </w:rPr>
      </w:pPr>
      <w:r>
        <w:rPr>
          <w:sz w:val="32"/>
        </w:rPr>
        <w:t>If the last assumption does not hold:</w:t>
      </w:r>
    </w:p>
    <w:p w:rsidR="00D97BA8" w:rsidRDefault="00D97BA8" w:rsidP="00D97BA8">
      <w:pPr>
        <w:jc w:val="both"/>
        <w:rPr>
          <w:sz w:val="32"/>
        </w:rPr>
      </w:pPr>
      <w:r>
        <w:rPr>
          <w:sz w:val="32"/>
        </w:rPr>
        <w:t>H</w:t>
      </w:r>
      <w:r>
        <w:rPr>
          <w:sz w:val="32"/>
          <w:vertAlign w:val="subscript"/>
        </w:rPr>
        <w:t>0</w:t>
      </w:r>
      <w:r>
        <w:rPr>
          <w:sz w:val="32"/>
        </w:rPr>
        <w:t xml:space="preserve">: The </w:t>
      </w:r>
      <w:r>
        <w:rPr>
          <w:i/>
          <w:iCs/>
          <w:sz w:val="32"/>
        </w:rPr>
        <w:t>k</w:t>
      </w:r>
      <w:r>
        <w:rPr>
          <w:sz w:val="32"/>
        </w:rPr>
        <w:t xml:space="preserve"> groups have the same shape and location.</w:t>
      </w:r>
    </w:p>
    <w:p w:rsidR="00D97BA8" w:rsidRDefault="00D97BA8" w:rsidP="00D97BA8">
      <w:pPr>
        <w:jc w:val="both"/>
        <w:rPr>
          <w:sz w:val="32"/>
        </w:rPr>
      </w:pPr>
      <w:r>
        <w:rPr>
          <w:sz w:val="32"/>
        </w:rPr>
        <w:t>H</w:t>
      </w:r>
      <w:r>
        <w:rPr>
          <w:sz w:val="32"/>
          <w:vertAlign w:val="subscript"/>
        </w:rPr>
        <w:t>A</w:t>
      </w:r>
      <w:r>
        <w:rPr>
          <w:sz w:val="32"/>
        </w:rPr>
        <w:t xml:space="preserve">: The </w:t>
      </w:r>
      <w:r>
        <w:rPr>
          <w:i/>
          <w:iCs/>
          <w:sz w:val="32"/>
        </w:rPr>
        <w:t>k</w:t>
      </w:r>
      <w:r>
        <w:rPr>
          <w:sz w:val="32"/>
        </w:rPr>
        <w:t xml:space="preserve"> groups have a different shape and location.</w:t>
      </w:r>
    </w:p>
    <w:p w:rsidR="00D97BA8" w:rsidRDefault="00D97BA8" w:rsidP="00D97BA8">
      <w:pPr>
        <w:jc w:val="both"/>
        <w:rPr>
          <w:sz w:val="32"/>
        </w:rPr>
      </w:pPr>
      <w:r>
        <w:rPr>
          <w:sz w:val="32"/>
        </w:rPr>
        <w:t>The alternative hypothesis can be directional or non-directional.  If a significant result is obtained then post hoc testing can be used to see where any differences lie.</w:t>
      </w:r>
    </w:p>
    <w:p w:rsidR="00D97BA8" w:rsidRDefault="00D97BA8" w:rsidP="00D97BA8">
      <w:pPr>
        <w:jc w:val="both"/>
        <w:rPr>
          <w:sz w:val="32"/>
        </w:rPr>
      </w:pPr>
    </w:p>
    <w:p w:rsidR="00D97BA8" w:rsidRDefault="00D97BA8" w:rsidP="00D97BA8">
      <w:pPr>
        <w:jc w:val="both"/>
        <w:rPr>
          <w:sz w:val="32"/>
        </w:rPr>
      </w:pPr>
      <w:r>
        <w:rPr>
          <w:sz w:val="32"/>
        </w:rPr>
        <w:t>If the assumptions are met the test can be used in the following way:</w:t>
      </w:r>
    </w:p>
    <w:p w:rsidR="00D97BA8" w:rsidRDefault="00D97BA8" w:rsidP="00D97BA8">
      <w:pPr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Determine the null and alternative hypothesis and </w:t>
      </w:r>
      <w:r>
        <w:rPr>
          <w:sz w:val="32"/>
        </w:rPr>
        <w:sym w:font="Symbol" w:char="F061"/>
      </w:r>
      <w:r>
        <w:rPr>
          <w:sz w:val="32"/>
        </w:rPr>
        <w:t xml:space="preserve"> the level of significance for the test.</w:t>
      </w:r>
    </w:p>
    <w:p w:rsidR="00D97BA8" w:rsidRDefault="00D97BA8" w:rsidP="00D97BA8">
      <w:pPr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Rank the whole sample from lowest to highest.</w:t>
      </w:r>
    </w:p>
    <w:p w:rsidR="00D97BA8" w:rsidRDefault="00D97BA8" w:rsidP="00D97BA8">
      <w:pPr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Calculate the sum of the ranks for each group.</w:t>
      </w:r>
    </w:p>
    <w:p w:rsidR="00D97BA8" w:rsidRDefault="00D97BA8" w:rsidP="00D97BA8">
      <w:pPr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lastRenderedPageBreak/>
        <w:t xml:space="preserve">Calculate the average rank in each group, </w:t>
      </w:r>
      <w:r>
        <w:rPr>
          <w:position w:val="-12"/>
          <w:sz w:val="32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22pt" o:ole="" fillcolor="window">
            <v:imagedata r:id="rId6" o:title=""/>
          </v:shape>
          <o:OLEObject Type="Embed" ProgID="Equation.3" ShapeID="_x0000_i1025" DrawAspect="Content" ObjectID="_1378197180" r:id="rId7"/>
        </w:object>
      </w:r>
      <w:r>
        <w:rPr>
          <w:sz w:val="32"/>
        </w:rPr>
        <w:t xml:space="preserve">, and the average rank for the whole sample, </w:t>
      </w:r>
      <w:r>
        <w:rPr>
          <w:position w:val="-4"/>
          <w:sz w:val="32"/>
        </w:rPr>
        <w:object w:dxaOrig="260" w:dyaOrig="300">
          <v:shape id="_x0000_i1026" type="#_x0000_t75" style="width:15pt;height:17pt" o:ole="" fillcolor="window">
            <v:imagedata r:id="rId8" o:title=""/>
          </v:shape>
          <o:OLEObject Type="Embed" ProgID="Equation.3" ShapeID="_x0000_i1026" DrawAspect="Content" ObjectID="_1378197181" r:id="rId9"/>
        </w:object>
      </w:r>
      <w:r>
        <w:rPr>
          <w:sz w:val="32"/>
        </w:rPr>
        <w:t>.</w:t>
      </w:r>
    </w:p>
    <w:p w:rsidR="00D97BA8" w:rsidRDefault="00D97BA8" w:rsidP="00D97BA8">
      <w:pPr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Calculate the test statistic </w:t>
      </w:r>
      <w:r>
        <w:rPr>
          <w:i/>
          <w:sz w:val="32"/>
        </w:rPr>
        <w:t>H</w:t>
      </w:r>
      <w:r>
        <w:rPr>
          <w:sz w:val="32"/>
        </w:rPr>
        <w:t>,</w:t>
      </w:r>
    </w:p>
    <w:p w:rsidR="00D97BA8" w:rsidRDefault="00D97BA8" w:rsidP="00D97BA8">
      <w:pPr>
        <w:tabs>
          <w:tab w:val="num" w:pos="360"/>
        </w:tabs>
        <w:jc w:val="center"/>
        <w:rPr>
          <w:sz w:val="32"/>
        </w:rPr>
      </w:pPr>
      <w:r>
        <w:rPr>
          <w:position w:val="-28"/>
          <w:sz w:val="32"/>
        </w:rPr>
        <w:object w:dxaOrig="2220" w:dyaOrig="740">
          <v:shape id="_x0000_i1027" type="#_x0000_t75" style="width:159pt;height:54pt" o:ole="" fillcolor="window">
            <v:imagedata r:id="rId10" o:title=""/>
          </v:shape>
          <o:OLEObject Type="Embed" ProgID="Equation.3" ShapeID="_x0000_i1027" DrawAspect="Content" ObjectID="_1378197182" r:id="rId11"/>
        </w:object>
      </w:r>
    </w:p>
    <w:p w:rsidR="00D97BA8" w:rsidRDefault="00D97BA8" w:rsidP="00D97BA8">
      <w:pPr>
        <w:tabs>
          <w:tab w:val="num" w:pos="360"/>
        </w:tabs>
        <w:jc w:val="both"/>
        <w:rPr>
          <w:sz w:val="32"/>
        </w:rPr>
      </w:pPr>
      <w:r>
        <w:rPr>
          <w:sz w:val="32"/>
        </w:rPr>
        <w:tab/>
        <w:t>where,</w:t>
      </w:r>
      <w:r>
        <w:rPr>
          <w:sz w:val="32"/>
        </w:rPr>
        <w:tab/>
        <w:t xml:space="preserve"> </w:t>
      </w:r>
      <w:r>
        <w:rPr>
          <w:i/>
          <w:sz w:val="32"/>
        </w:rPr>
        <w:t>n</w:t>
      </w:r>
      <w:r>
        <w:rPr>
          <w:i/>
          <w:sz w:val="32"/>
          <w:vertAlign w:val="subscript"/>
        </w:rPr>
        <w:t>i</w:t>
      </w:r>
      <w:r>
        <w:rPr>
          <w:sz w:val="32"/>
        </w:rPr>
        <w:t xml:space="preserve"> = the number of observations in group </w:t>
      </w:r>
      <w:r>
        <w:rPr>
          <w:i/>
          <w:sz w:val="32"/>
        </w:rPr>
        <w:t>i</w:t>
      </w:r>
      <w:r>
        <w:rPr>
          <w:sz w:val="32"/>
        </w:rPr>
        <w:tab/>
      </w:r>
      <w:r>
        <w:rPr>
          <w:sz w:val="32"/>
        </w:rPr>
        <w:tab/>
      </w:r>
    </w:p>
    <w:p w:rsidR="00D97BA8" w:rsidRDefault="00D97BA8" w:rsidP="00D97BA8">
      <w:pPr>
        <w:tabs>
          <w:tab w:val="num" w:pos="360"/>
        </w:tabs>
        <w:jc w:val="both"/>
        <w:rPr>
          <w:sz w:val="32"/>
        </w:rPr>
      </w:pPr>
      <w:r>
        <w:rPr>
          <w:sz w:val="32"/>
        </w:rPr>
        <w:t xml:space="preserve">      </w:t>
      </w:r>
      <w:r>
        <w:rPr>
          <w:i/>
          <w:sz w:val="32"/>
        </w:rPr>
        <w:t xml:space="preserve"> </w:t>
      </w:r>
      <w:r>
        <w:rPr>
          <w:i/>
          <w:sz w:val="32"/>
        </w:rPr>
        <w:tab/>
      </w:r>
      <w:r>
        <w:rPr>
          <w:i/>
          <w:sz w:val="32"/>
        </w:rPr>
        <w:tab/>
        <w:t>N</w:t>
      </w:r>
      <w:r>
        <w:rPr>
          <w:sz w:val="32"/>
        </w:rPr>
        <w:t xml:space="preserve"> = the total sample size</w:t>
      </w:r>
    </w:p>
    <w:p w:rsidR="00D97BA8" w:rsidRDefault="00D97BA8" w:rsidP="00D97BA8">
      <w:pPr>
        <w:tabs>
          <w:tab w:val="num" w:pos="360"/>
        </w:tabs>
        <w:jc w:val="both"/>
        <w:rPr>
          <w:sz w:val="32"/>
        </w:rPr>
      </w:pPr>
      <w:r>
        <w:rPr>
          <w:sz w:val="32"/>
        </w:rPr>
        <w:tab/>
      </w:r>
    </w:p>
    <w:p w:rsidR="00D97BA8" w:rsidRDefault="00D97BA8" w:rsidP="00D97BA8">
      <w:pPr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Compare this value with the chi-square distribution with </w:t>
      </w:r>
      <w:r>
        <w:rPr>
          <w:i/>
          <w:sz w:val="32"/>
        </w:rPr>
        <w:t>k–1</w:t>
      </w:r>
      <w:r>
        <w:rPr>
          <w:sz w:val="32"/>
        </w:rPr>
        <w:t xml:space="preserve"> degrees of freedom.  If the statistic is bigger than the critical value in the chi-square table, the result is significant.  If the result is significant, then pairwise post hoc test can be carried out.</w:t>
      </w:r>
    </w:p>
    <w:p w:rsidR="00D97BA8" w:rsidRDefault="00D97BA8" w:rsidP="00D97BA8">
      <w:pPr>
        <w:tabs>
          <w:tab w:val="num" w:pos="360"/>
        </w:tabs>
        <w:jc w:val="both"/>
        <w:rPr>
          <w:sz w:val="32"/>
        </w:rPr>
      </w:pPr>
    </w:p>
    <w:p w:rsidR="00D97BA8" w:rsidRDefault="00D97BA8" w:rsidP="00D97BA8">
      <w:pPr>
        <w:pStyle w:val="Heading3"/>
        <w:numPr>
          <w:ilvl w:val="0"/>
          <w:numId w:val="0"/>
        </w:numPr>
        <w:jc w:val="both"/>
        <w:rPr>
          <w:sz w:val="32"/>
        </w:rPr>
      </w:pPr>
      <w:bookmarkStart w:id="1" w:name="_Toc511540770"/>
      <w:r>
        <w:rPr>
          <w:sz w:val="32"/>
        </w:rPr>
        <w:t>Example</w:t>
      </w:r>
      <w:bookmarkEnd w:id="1"/>
    </w:p>
    <w:p w:rsidR="00D97BA8" w:rsidRDefault="00D97BA8" w:rsidP="00D97BA8">
      <w:pPr>
        <w:jc w:val="both"/>
        <w:rPr>
          <w:sz w:val="32"/>
        </w:rPr>
      </w:pPr>
      <w:r>
        <w:rPr>
          <w:sz w:val="32"/>
        </w:rPr>
        <w:t>The data are the reduction in weekly headache activity for three treatment groups, expressed as a percentage of the baseline data (example from Altman).</w:t>
      </w:r>
    </w:p>
    <w:p w:rsidR="00D97BA8" w:rsidRDefault="00D97BA8" w:rsidP="00D97BA8">
      <w:pPr>
        <w:jc w:val="both"/>
        <w:rPr>
          <w:sz w:val="32"/>
        </w:rPr>
      </w:pPr>
    </w:p>
    <w:p w:rsidR="00D97BA8" w:rsidRDefault="00D97BA8" w:rsidP="00D97BA8">
      <w:pPr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H</w:t>
      </w:r>
      <w:r>
        <w:rPr>
          <w:sz w:val="32"/>
          <w:vertAlign w:val="subscript"/>
        </w:rPr>
        <w:t>0</w:t>
      </w:r>
      <w:r>
        <w:rPr>
          <w:sz w:val="32"/>
        </w:rPr>
        <w:t>: The three samples come from populations with the same median.</w:t>
      </w:r>
    </w:p>
    <w:p w:rsidR="00D97BA8" w:rsidRDefault="00D97BA8" w:rsidP="00D97BA8">
      <w:pPr>
        <w:tabs>
          <w:tab w:val="num" w:pos="360"/>
        </w:tabs>
        <w:ind w:left="360"/>
        <w:jc w:val="both"/>
        <w:rPr>
          <w:sz w:val="32"/>
        </w:rPr>
      </w:pPr>
      <w:r>
        <w:rPr>
          <w:sz w:val="32"/>
        </w:rPr>
        <w:t>H</w:t>
      </w:r>
      <w:r>
        <w:rPr>
          <w:sz w:val="32"/>
          <w:vertAlign w:val="subscript"/>
        </w:rPr>
        <w:t>A</w:t>
      </w:r>
      <w:r>
        <w:rPr>
          <w:sz w:val="32"/>
        </w:rPr>
        <w:t>: At least one sample comes from a population with a different median.</w:t>
      </w:r>
    </w:p>
    <w:p w:rsidR="00D97BA8" w:rsidRDefault="00D97BA8" w:rsidP="00D97BA8">
      <w:pPr>
        <w:tabs>
          <w:tab w:val="num" w:pos="360"/>
        </w:tabs>
        <w:ind w:left="360"/>
        <w:jc w:val="both"/>
        <w:rPr>
          <w:sz w:val="32"/>
        </w:rPr>
      </w:pPr>
      <w:r>
        <w:rPr>
          <w:sz w:val="32"/>
        </w:rPr>
        <w:sym w:font="Symbol" w:char="F061"/>
      </w:r>
      <w:r>
        <w:rPr>
          <w:sz w:val="32"/>
        </w:rPr>
        <w:t xml:space="preserve"> = 0.05.</w:t>
      </w:r>
    </w:p>
    <w:p w:rsidR="00D97BA8" w:rsidRDefault="00D97BA8" w:rsidP="00D97BA8">
      <w:pPr>
        <w:jc w:val="both"/>
        <w:rPr>
          <w:sz w:val="32"/>
        </w:rPr>
      </w:pPr>
    </w:p>
    <w:p w:rsidR="00D97BA8" w:rsidRDefault="00D97BA8" w:rsidP="00D97BA8">
      <w:pPr>
        <w:jc w:val="both"/>
        <w:rPr>
          <w:sz w:val="32"/>
        </w:rPr>
      </w:pPr>
    </w:p>
    <w:tbl>
      <w:tblPr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1958"/>
        <w:gridCol w:w="1150"/>
        <w:gridCol w:w="1835"/>
        <w:gridCol w:w="1230"/>
        <w:gridCol w:w="1638"/>
        <w:gridCol w:w="1115"/>
      </w:tblGrid>
      <w:tr w:rsidR="00D97BA8" w:rsidTr="004617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58" w:type="dxa"/>
            <w:tcBorders>
              <w:top w:val="single" w:sz="12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br w:type="page"/>
              <w:t>Relaxation/ response feedback</w:t>
            </w:r>
          </w:p>
        </w:tc>
        <w:tc>
          <w:tcPr>
            <w:tcW w:w="1150" w:type="dxa"/>
            <w:tcBorders>
              <w:top w:val="single" w:sz="12" w:space="0" w:color="auto"/>
            </w:tcBorders>
            <w:vAlign w:val="center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Rank</w:t>
            </w:r>
          </w:p>
        </w:tc>
        <w:tc>
          <w:tcPr>
            <w:tcW w:w="1835" w:type="dxa"/>
            <w:tcBorders>
              <w:top w:val="single" w:sz="12" w:space="0" w:color="auto"/>
            </w:tcBorders>
            <w:vAlign w:val="center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Relaxation alone</w:t>
            </w:r>
          </w:p>
        </w:tc>
        <w:tc>
          <w:tcPr>
            <w:tcW w:w="1230" w:type="dxa"/>
            <w:tcBorders>
              <w:top w:val="single" w:sz="12" w:space="0" w:color="auto"/>
            </w:tcBorders>
            <w:vAlign w:val="center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Rank</w:t>
            </w:r>
          </w:p>
        </w:tc>
        <w:tc>
          <w:tcPr>
            <w:tcW w:w="1638" w:type="dxa"/>
            <w:tcBorders>
              <w:top w:val="single" w:sz="12" w:space="0" w:color="auto"/>
            </w:tcBorders>
            <w:vAlign w:val="center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Untreated</w:t>
            </w:r>
          </w:p>
        </w:tc>
        <w:tc>
          <w:tcPr>
            <w:tcW w:w="1115" w:type="dxa"/>
            <w:tcBorders>
              <w:top w:val="single" w:sz="12" w:space="0" w:color="auto"/>
            </w:tcBorders>
            <w:vAlign w:val="center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Rank</w:t>
            </w:r>
          </w:p>
        </w:tc>
      </w:tr>
      <w:tr w:rsidR="00D97BA8" w:rsidTr="004617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58" w:type="dxa"/>
            <w:tcBorders>
              <w:top w:val="single" w:sz="8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62</w:t>
            </w:r>
          </w:p>
        </w:tc>
        <w:tc>
          <w:tcPr>
            <w:tcW w:w="1150" w:type="dxa"/>
            <w:tcBorders>
              <w:top w:val="single" w:sz="8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835" w:type="dxa"/>
            <w:tcBorders>
              <w:top w:val="single" w:sz="8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69</w:t>
            </w:r>
          </w:p>
        </w:tc>
        <w:tc>
          <w:tcPr>
            <w:tcW w:w="1230" w:type="dxa"/>
            <w:tcBorders>
              <w:top w:val="single" w:sz="8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1638" w:type="dxa"/>
            <w:tcBorders>
              <w:top w:val="single" w:sz="8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1115" w:type="dxa"/>
            <w:tcBorders>
              <w:top w:val="single" w:sz="8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</w:tr>
      <w:tr w:rsidR="00D97BA8" w:rsidTr="004617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58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74</w:t>
            </w:r>
          </w:p>
        </w:tc>
        <w:tc>
          <w:tcPr>
            <w:tcW w:w="1150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10.5</w:t>
            </w:r>
          </w:p>
        </w:tc>
        <w:tc>
          <w:tcPr>
            <w:tcW w:w="1835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43</w:t>
            </w:r>
          </w:p>
        </w:tc>
        <w:tc>
          <w:tcPr>
            <w:tcW w:w="1230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638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–120</w:t>
            </w:r>
          </w:p>
        </w:tc>
        <w:tc>
          <w:tcPr>
            <w:tcW w:w="1115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D97BA8" w:rsidTr="004617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58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86</w:t>
            </w:r>
          </w:p>
        </w:tc>
        <w:tc>
          <w:tcPr>
            <w:tcW w:w="1150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1835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1230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17</w:t>
            </w:r>
          </w:p>
        </w:tc>
        <w:tc>
          <w:tcPr>
            <w:tcW w:w="1638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1115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17</w:t>
            </w:r>
          </w:p>
        </w:tc>
      </w:tr>
      <w:tr w:rsidR="00D97BA8" w:rsidTr="004617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58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74</w:t>
            </w:r>
          </w:p>
        </w:tc>
        <w:tc>
          <w:tcPr>
            <w:tcW w:w="1150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10.5</w:t>
            </w:r>
          </w:p>
        </w:tc>
        <w:tc>
          <w:tcPr>
            <w:tcW w:w="1835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94</w:t>
            </w:r>
          </w:p>
        </w:tc>
        <w:tc>
          <w:tcPr>
            <w:tcW w:w="1230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1638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–288</w:t>
            </w:r>
          </w:p>
        </w:tc>
        <w:tc>
          <w:tcPr>
            <w:tcW w:w="1115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D97BA8" w:rsidTr="004617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58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91</w:t>
            </w:r>
          </w:p>
        </w:tc>
        <w:tc>
          <w:tcPr>
            <w:tcW w:w="1150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1835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1230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17</w:t>
            </w:r>
          </w:p>
        </w:tc>
        <w:tc>
          <w:tcPr>
            <w:tcW w:w="1638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115" w:type="dxa"/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D97BA8" w:rsidTr="004617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58" w:type="dxa"/>
            <w:tcBorders>
              <w:bottom w:val="single" w:sz="8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37</w:t>
            </w:r>
          </w:p>
        </w:tc>
        <w:tc>
          <w:tcPr>
            <w:tcW w:w="1150" w:type="dxa"/>
            <w:tcBorders>
              <w:bottom w:val="single" w:sz="8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835" w:type="dxa"/>
            <w:tcBorders>
              <w:bottom w:val="single" w:sz="8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98</w:t>
            </w:r>
          </w:p>
        </w:tc>
        <w:tc>
          <w:tcPr>
            <w:tcW w:w="1230" w:type="dxa"/>
            <w:tcBorders>
              <w:bottom w:val="single" w:sz="8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1638" w:type="dxa"/>
            <w:tcBorders>
              <w:bottom w:val="single" w:sz="8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–76</w:t>
            </w:r>
          </w:p>
        </w:tc>
        <w:tc>
          <w:tcPr>
            <w:tcW w:w="1115" w:type="dxa"/>
            <w:tcBorders>
              <w:bottom w:val="single" w:sz="8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D97BA8" w:rsidTr="004617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58" w:type="dxa"/>
            <w:tcBorders>
              <w:bottom w:val="single" w:sz="12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Rank sum (mean)</w:t>
            </w:r>
          </w:p>
        </w:tc>
        <w:tc>
          <w:tcPr>
            <w:tcW w:w="1150" w:type="dxa"/>
            <w:tcBorders>
              <w:bottom w:val="single" w:sz="12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59</w:t>
            </w:r>
          </w:p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(9.83)</w:t>
            </w:r>
          </w:p>
        </w:tc>
        <w:tc>
          <w:tcPr>
            <w:tcW w:w="1835" w:type="dxa"/>
            <w:tcBorders>
              <w:bottom w:val="single" w:sz="12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</w:p>
        </w:tc>
        <w:tc>
          <w:tcPr>
            <w:tcW w:w="1230" w:type="dxa"/>
            <w:tcBorders>
              <w:bottom w:val="single" w:sz="12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78</w:t>
            </w:r>
          </w:p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(13)</w:t>
            </w:r>
          </w:p>
        </w:tc>
        <w:tc>
          <w:tcPr>
            <w:tcW w:w="1638" w:type="dxa"/>
            <w:tcBorders>
              <w:bottom w:val="single" w:sz="12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</w:p>
        </w:tc>
        <w:tc>
          <w:tcPr>
            <w:tcW w:w="1115" w:type="dxa"/>
            <w:tcBorders>
              <w:bottom w:val="single" w:sz="12" w:space="0" w:color="auto"/>
            </w:tcBorders>
          </w:tcPr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34</w:t>
            </w:r>
          </w:p>
          <w:p w:rsidR="00D97BA8" w:rsidRDefault="00D97BA8" w:rsidP="004617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(5.67)</w:t>
            </w:r>
          </w:p>
        </w:tc>
      </w:tr>
    </w:tbl>
    <w:p w:rsidR="00D97BA8" w:rsidRDefault="00D97BA8" w:rsidP="00D97BA8">
      <w:pPr>
        <w:jc w:val="both"/>
        <w:rPr>
          <w:sz w:val="32"/>
        </w:rPr>
      </w:pPr>
    </w:p>
    <w:p w:rsidR="00D97BA8" w:rsidRDefault="00D97BA8" w:rsidP="00D97BA8">
      <w:pPr>
        <w:jc w:val="both"/>
        <w:rPr>
          <w:sz w:val="32"/>
        </w:rPr>
      </w:pPr>
      <w:r>
        <w:rPr>
          <w:sz w:val="32"/>
        </w:rPr>
        <w:t xml:space="preserve">4. </w:t>
      </w:r>
      <w:r>
        <w:rPr>
          <w:position w:val="-24"/>
          <w:sz w:val="32"/>
        </w:rPr>
        <w:object w:dxaOrig="5020" w:dyaOrig="620">
          <v:shape id="_x0000_i1028" type="#_x0000_t75" style="width:344pt;height:43pt" o:ole="" fillcolor="window">
            <v:imagedata r:id="rId12" o:title=""/>
          </v:shape>
          <o:OLEObject Type="Embed" ProgID="Equation.DSMT4" ShapeID="_x0000_i1028" DrawAspect="Content" ObjectID="_1378197183" r:id="rId13"/>
        </w:object>
      </w:r>
    </w:p>
    <w:p w:rsidR="00D97BA8" w:rsidRDefault="00D97BA8" w:rsidP="00D97BA8">
      <w:pPr>
        <w:jc w:val="both"/>
        <w:rPr>
          <w:sz w:val="32"/>
        </w:rPr>
      </w:pPr>
      <w:r>
        <w:rPr>
          <w:sz w:val="32"/>
        </w:rPr>
        <w:t xml:space="preserve">5. </w:t>
      </w:r>
      <w:r>
        <w:rPr>
          <w:position w:val="-28"/>
          <w:sz w:val="32"/>
        </w:rPr>
        <w:object w:dxaOrig="5880" w:dyaOrig="700">
          <v:shape id="_x0000_i1029" type="#_x0000_t75" style="width:371pt;height:44pt" o:ole="" fillcolor="window">
            <v:imagedata r:id="rId14" o:title=""/>
          </v:shape>
          <o:OLEObject Type="Embed" ProgID="Equation.3" ShapeID="_x0000_i1029" DrawAspect="Content" ObjectID="_1378197184" r:id="rId15"/>
        </w:object>
      </w:r>
    </w:p>
    <w:p w:rsidR="00D97BA8" w:rsidRDefault="00D97BA8" w:rsidP="00D97BA8">
      <w:pPr>
        <w:numPr>
          <w:ilvl w:val="0"/>
          <w:numId w:val="3"/>
        </w:numPr>
        <w:jc w:val="both"/>
        <w:rPr>
          <w:sz w:val="32"/>
        </w:rPr>
      </w:pPr>
      <w:r>
        <w:rPr>
          <w:rFonts w:ascii="Symbol" w:hAnsi="Symbol"/>
          <w:position w:val="-14"/>
          <w:sz w:val="32"/>
        </w:rPr>
        <w:object w:dxaOrig="600" w:dyaOrig="400">
          <v:shape id="_x0000_i1030" type="#_x0000_t75" style="width:40pt;height:27pt" o:ole="" fillcolor="window">
            <v:imagedata r:id="rId16" o:title=""/>
          </v:shape>
          <o:OLEObject Type="Embed" ProgID="Equation.DSMT4" ShapeID="_x0000_i1030" DrawAspect="Content" ObjectID="_1378197185" r:id="rId17"/>
        </w:object>
      </w:r>
      <w:r>
        <w:rPr>
          <w:rFonts w:ascii="Symbol" w:hAnsi="Symbol"/>
          <w:sz w:val="32"/>
        </w:rPr>
        <w:t>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</w:t>
      </w:r>
      <w:r>
        <w:rPr>
          <w:rFonts w:ascii="Symbol" w:hAnsi="Symbol"/>
          <w:sz w:val="32"/>
        </w:rPr>
        <w:t></w:t>
      </w:r>
      <w:r>
        <w:rPr>
          <w:rFonts w:ascii="Symbol" w:hAnsi="Symbol"/>
          <w:sz w:val="32"/>
        </w:rPr>
        <w:t></w:t>
      </w:r>
      <w:r>
        <w:rPr>
          <w:rFonts w:ascii="Symbol" w:hAnsi="Symbol"/>
          <w:sz w:val="32"/>
        </w:rPr>
        <w:t></w:t>
      </w:r>
      <w:r>
        <w:rPr>
          <w:rFonts w:ascii="Symbol" w:hAnsi="Symbol"/>
          <w:sz w:val="32"/>
        </w:rPr>
        <w:t>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</w:t>
      </w:r>
      <w:r>
        <w:rPr>
          <w:rFonts w:ascii="Symbol" w:hAnsi="Symbol"/>
          <w:sz w:val="32"/>
        </w:rPr>
        <w:t></w:t>
      </w:r>
      <w:r>
        <w:rPr>
          <w:rFonts w:ascii="Symbol" w:hAnsi="Symbol"/>
          <w:sz w:val="32"/>
        </w:rPr>
        <w:t></w:t>
      </w:r>
      <w:r>
        <w:rPr>
          <w:rFonts w:ascii="Symbol" w:hAnsi="Symbol"/>
          <w:sz w:val="32"/>
        </w:rPr>
        <w:t></w:t>
      </w:r>
      <w:r>
        <w:rPr>
          <w:rFonts w:ascii="Symbol" w:hAnsi="Symbol"/>
          <w:sz w:val="32"/>
        </w:rPr>
        <w:t></w:t>
      </w:r>
      <w:r>
        <w:rPr>
          <w:rFonts w:ascii="Symbol" w:hAnsi="Symbol"/>
          <w:sz w:val="32"/>
        </w:rPr>
        <w:t></w:t>
      </w:r>
      <w:r>
        <w:rPr>
          <w:rFonts w:ascii="Symbol" w:hAnsi="Symbol"/>
          <w:sz w:val="32"/>
        </w:rPr>
        <w:t></w:t>
      </w:r>
      <w:r>
        <w:rPr>
          <w:rFonts w:ascii="Symbol" w:hAnsi="Symbol"/>
          <w:sz w:val="32"/>
        </w:rPr>
        <w:t></w:t>
      </w:r>
      <w:r>
        <w:rPr>
          <w:rFonts w:ascii="Symbol" w:hAnsi="Symbol"/>
          <w:sz w:val="32"/>
        </w:rPr>
        <w:t></w:t>
      </w:r>
      <w:r>
        <w:rPr>
          <w:rFonts w:ascii="Symbol" w:hAnsi="Symbol"/>
          <w:sz w:val="32"/>
        </w:rPr>
        <w:t></w:t>
      </w:r>
      <w:r>
        <w:rPr>
          <w:rFonts w:ascii="Symbol" w:hAnsi="Symbol"/>
          <w:sz w:val="32"/>
        </w:rPr>
        <w:t></w:t>
      </w:r>
      <w:r>
        <w:rPr>
          <w:sz w:val="32"/>
        </w:rPr>
        <w:t>Therefore, there is not sufficient evidence to reject the null hypothesis at the 5% level of significance, p=0.06.</w:t>
      </w:r>
    </w:p>
    <w:p w:rsidR="0039080C" w:rsidRDefault="0039080C">
      <w:bookmarkStart w:id="2" w:name="_GoBack"/>
      <w:bookmarkEnd w:id="2"/>
    </w:p>
    <w:sectPr w:rsidR="0039080C" w:rsidSect="00C843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4AAE"/>
    <w:multiLevelType w:val="multilevel"/>
    <w:tmpl w:val="899A7E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5D10B99"/>
    <w:multiLevelType w:val="singleLevel"/>
    <w:tmpl w:val="9536B7A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DA300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B8977F1"/>
    <w:multiLevelType w:val="singleLevel"/>
    <w:tmpl w:val="23E2F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F0E18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A8"/>
    <w:rsid w:val="0039080C"/>
    <w:rsid w:val="00C84377"/>
    <w:rsid w:val="00D9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0B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BA8"/>
    <w:rPr>
      <w:rFonts w:ascii="Times New Roman" w:eastAsia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autoRedefine/>
    <w:qFormat/>
    <w:rsid w:val="00D97BA8"/>
    <w:pPr>
      <w:keepNext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D97BA8"/>
    <w:pPr>
      <w:keepNext/>
      <w:numPr>
        <w:ilvl w:val="2"/>
        <w:numId w:val="5"/>
      </w:numPr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D97BA8"/>
    <w:pPr>
      <w:keepNext/>
      <w:numPr>
        <w:ilvl w:val="3"/>
        <w:numId w:val="5"/>
      </w:numPr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D97BA8"/>
    <w:pPr>
      <w:numPr>
        <w:ilvl w:val="4"/>
        <w:numId w:val="5"/>
      </w:numPr>
      <w:spacing w:before="240" w:after="6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D97BA8"/>
    <w:pPr>
      <w:numPr>
        <w:ilvl w:val="5"/>
        <w:numId w:val="5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97BA8"/>
    <w:pPr>
      <w:numPr>
        <w:ilvl w:val="6"/>
        <w:numId w:val="5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D97BA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97BA8"/>
    <w:pPr>
      <w:numPr>
        <w:ilvl w:val="8"/>
        <w:numId w:val="5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97BA8"/>
    <w:rPr>
      <w:rFonts w:ascii="Times New Roman" w:eastAsia="Times New Roman" w:hAnsi="Times New Roman" w:cs="Times New Roman"/>
      <w:b/>
      <w:noProof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D97BA8"/>
    <w:rPr>
      <w:rFonts w:ascii="Times New Roman" w:eastAsia="Times New Roman" w:hAnsi="Times New Roman" w:cs="Times New Roman"/>
      <w:b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D97BA8"/>
    <w:rPr>
      <w:rFonts w:ascii="Times New Roman" w:eastAsia="Times New Roman" w:hAnsi="Times New Roman" w:cs="Times New Roman"/>
      <w:b/>
      <w:noProof/>
      <w:szCs w:val="20"/>
    </w:rPr>
  </w:style>
  <w:style w:type="character" w:customStyle="1" w:styleId="Heading5Char">
    <w:name w:val="Heading 5 Char"/>
    <w:basedOn w:val="DefaultParagraphFont"/>
    <w:link w:val="Heading5"/>
    <w:rsid w:val="00D97BA8"/>
    <w:rPr>
      <w:rFonts w:ascii="Times New Roman" w:eastAsia="Times New Roman" w:hAnsi="Times New Roman" w:cs="Times New Roman"/>
      <w:noProof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D97BA8"/>
    <w:rPr>
      <w:rFonts w:ascii="Times New Roman" w:eastAsia="Times New Roman" w:hAnsi="Times New Roman" w:cs="Times New Roman"/>
      <w:i/>
      <w:noProof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D97BA8"/>
    <w:rPr>
      <w:rFonts w:ascii="Arial" w:eastAsia="Times New Roman" w:hAnsi="Arial" w:cs="Times New Roman"/>
      <w:noProof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97BA8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97BA8"/>
    <w:rPr>
      <w:rFonts w:ascii="Arial" w:eastAsia="Times New Roman" w:hAnsi="Arial" w:cs="Times New Roman"/>
      <w:b/>
      <w:i/>
      <w:noProof/>
      <w:sz w:val="1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BA8"/>
    <w:rPr>
      <w:rFonts w:ascii="Times New Roman" w:eastAsia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autoRedefine/>
    <w:qFormat/>
    <w:rsid w:val="00D97BA8"/>
    <w:pPr>
      <w:keepNext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D97BA8"/>
    <w:pPr>
      <w:keepNext/>
      <w:numPr>
        <w:ilvl w:val="2"/>
        <w:numId w:val="5"/>
      </w:numPr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D97BA8"/>
    <w:pPr>
      <w:keepNext/>
      <w:numPr>
        <w:ilvl w:val="3"/>
        <w:numId w:val="5"/>
      </w:numPr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D97BA8"/>
    <w:pPr>
      <w:numPr>
        <w:ilvl w:val="4"/>
        <w:numId w:val="5"/>
      </w:numPr>
      <w:spacing w:before="240" w:after="6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D97BA8"/>
    <w:pPr>
      <w:numPr>
        <w:ilvl w:val="5"/>
        <w:numId w:val="5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97BA8"/>
    <w:pPr>
      <w:numPr>
        <w:ilvl w:val="6"/>
        <w:numId w:val="5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D97BA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97BA8"/>
    <w:pPr>
      <w:numPr>
        <w:ilvl w:val="8"/>
        <w:numId w:val="5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97BA8"/>
    <w:rPr>
      <w:rFonts w:ascii="Times New Roman" w:eastAsia="Times New Roman" w:hAnsi="Times New Roman" w:cs="Times New Roman"/>
      <w:b/>
      <w:noProof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D97BA8"/>
    <w:rPr>
      <w:rFonts w:ascii="Times New Roman" w:eastAsia="Times New Roman" w:hAnsi="Times New Roman" w:cs="Times New Roman"/>
      <w:b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D97BA8"/>
    <w:rPr>
      <w:rFonts w:ascii="Times New Roman" w:eastAsia="Times New Roman" w:hAnsi="Times New Roman" w:cs="Times New Roman"/>
      <w:b/>
      <w:noProof/>
      <w:szCs w:val="20"/>
    </w:rPr>
  </w:style>
  <w:style w:type="character" w:customStyle="1" w:styleId="Heading5Char">
    <w:name w:val="Heading 5 Char"/>
    <w:basedOn w:val="DefaultParagraphFont"/>
    <w:link w:val="Heading5"/>
    <w:rsid w:val="00D97BA8"/>
    <w:rPr>
      <w:rFonts w:ascii="Times New Roman" w:eastAsia="Times New Roman" w:hAnsi="Times New Roman" w:cs="Times New Roman"/>
      <w:noProof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D97BA8"/>
    <w:rPr>
      <w:rFonts w:ascii="Times New Roman" w:eastAsia="Times New Roman" w:hAnsi="Times New Roman" w:cs="Times New Roman"/>
      <w:i/>
      <w:noProof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D97BA8"/>
    <w:rPr>
      <w:rFonts w:ascii="Arial" w:eastAsia="Times New Roman" w:hAnsi="Arial" w:cs="Times New Roman"/>
      <w:noProof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97BA8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97BA8"/>
    <w:rPr>
      <w:rFonts w:ascii="Arial" w:eastAsia="Times New Roman" w:hAnsi="Arial" w:cs="Times New Roman"/>
      <w:b/>
      <w:i/>
      <w:noProof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wmf"/><Relationship Id="rId13" Type="http://schemas.openxmlformats.org/officeDocument/2006/relationships/oleObject" Target="embeddings/oleObject1.bin"/><Relationship Id="rId14" Type="http://schemas.openxmlformats.org/officeDocument/2006/relationships/image" Target="media/image5.wmf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6.wmf"/><Relationship Id="rId17" Type="http://schemas.openxmlformats.org/officeDocument/2006/relationships/oleObject" Target="embeddings/oleObject2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wmf"/><Relationship Id="rId9" Type="http://schemas.openxmlformats.org/officeDocument/2006/relationships/oleObject" Target="embeddings/Microsoft_Equation2.bin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2403</Characters>
  <Application>Microsoft Macintosh Word</Application>
  <DocSecurity>0</DocSecurity>
  <Lines>20</Lines>
  <Paragraphs>5</Paragraphs>
  <ScaleCrop>false</ScaleCrop>
  <Company>CI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Vowler</dc:creator>
  <cp:keywords/>
  <dc:description/>
  <cp:lastModifiedBy>Sarah Vowler</cp:lastModifiedBy>
  <cp:revision>1</cp:revision>
  <dcterms:created xsi:type="dcterms:W3CDTF">2015-09-21T10:46:00Z</dcterms:created>
  <dcterms:modified xsi:type="dcterms:W3CDTF">2015-09-21T10:47:00Z</dcterms:modified>
</cp:coreProperties>
</file>