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in Years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59.673 (11.365)</w:t>
            </w:r>
          </w:p>
        </w:tc>
        <w:tc>
          <w:p>
            <w:pPr>
              <w:pStyle w:val="Compact"/>
              <w:jc w:val="center"/>
            </w:pPr>
            <w:r>
              <w:t xml:space="preserve">60.301 (11.632)</w:t>
            </w:r>
          </w:p>
        </w:tc>
        <w:tc>
          <w:p>
            <w:pPr>
              <w:pStyle w:val="Compact"/>
              <w:jc w:val="center"/>
            </w:pPr>
            <w:r>
              <w:t xml:space="preserve">59.763 (11.499)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27.000 - 88.000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26.000 - 85.000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2020-04-25T00:53:18Z</dcterms:created>
  <dcterms:modified xsi:type="dcterms:W3CDTF">2020-04-25T00:53:18Z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