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00" w:after="100"/>
        <w:jc w:val="center"/>
        <w:rPr/>
      </w:pPr>
      <w:r>
        <w:rPr>
          <w:b/>
          <w:bCs/>
          <w:color w:val="1F4E79"/>
          <w:sz w:val="48"/>
          <w:szCs w:val="48"/>
        </w:rPr>
        <w:t>Projekt Firmennetzwerk 2</w:t>
      </w:r>
    </w:p>
    <w:p>
      <w:pPr>
        <w:pStyle w:val="Normal"/>
        <w:spacing w:before="0" w:after="80"/>
        <w:jc w:val="center"/>
        <w:rPr/>
      </w:pPr>
      <w:r>
        <w:rPr>
          <w:color w:val="555555"/>
          <w:sz w:val="28"/>
          <w:szCs w:val="28"/>
        </w:rPr>
        <w:t>Standortvernetzung über IP-Transit</w:t>
      </w:r>
    </w:p>
    <w:p>
      <w:pPr>
        <w:pStyle w:val="Normal"/>
        <w:spacing w:before="0" w:after="400"/>
        <w:jc w:val="center"/>
        <w:rPr/>
      </w:pPr>
      <w:r>
        <w:rPr>
          <w:i/>
          <w:iCs/>
          <w:color w:val="555555"/>
          <w:sz w:val="24"/>
          <w:szCs w:val="24"/>
        </w:rPr>
        <w:t>4-Wochen-Projektplan — Aufgabenverteilung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Gesamtübersicht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1352"/>
        <w:gridCol w:w="3791"/>
        <w:gridCol w:w="3883"/>
      </w:tblGrid>
      <w:tr>
        <w:trPr/>
        <w:tc>
          <w:tcPr>
            <w:tcW w:w="13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1F4E79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Woche</w:t>
            </w:r>
          </w:p>
        </w:tc>
        <w:tc>
          <w:tcPr>
            <w:tcW w:w="37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1F4E79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Nataliia (ca. 50%)</w:t>
            </w:r>
          </w:p>
        </w:tc>
        <w:tc>
          <w:tcPr>
            <w:tcW w:w="38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1F4E79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Anh (ca. 50%)</w:t>
            </w:r>
          </w:p>
        </w:tc>
      </w:tr>
      <w:tr>
        <w:trPr/>
        <w:tc>
          <w:tcPr>
            <w:tcW w:w="13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FF8FF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7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1F8E9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 xml:space="preserve">✅ </w:t>
            </w:r>
            <w:r>
              <w:rPr>
                <w:sz w:val="18"/>
                <w:szCs w:val="18"/>
              </w:rPr>
              <w:t>Topologie, Wien komplett</w:t>
            </w:r>
          </w:p>
        </w:tc>
        <w:tc>
          <w:tcPr>
            <w:tcW w:w="38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ISP-Router + Netzdiagramm + Linz Basis</w:t>
            </w:r>
          </w:p>
        </w:tc>
      </w:tr>
      <w:tr>
        <w:trPr/>
        <w:tc>
          <w:tcPr>
            <w:tcW w:w="13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AFAFA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7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1F8E9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GRE Tunnel HQ-Seite + NAT/PAT</w:t>
            </w:r>
          </w:p>
        </w:tc>
        <w:tc>
          <w:tcPr>
            <w:tcW w:w="38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GRE Branch-Seite + Graz komplett</w:t>
            </w:r>
          </w:p>
        </w:tc>
      </w:tr>
      <w:tr>
        <w:trPr/>
        <w:tc>
          <w:tcPr>
            <w:tcW w:w="13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FF8FF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7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1F8E9" w:val="clear"/>
          </w:tcPr>
          <w:p>
            <w:pPr>
              <w:pStyle w:val="Normal"/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ACL File-Server + Security-Doku</w:t>
            </w:r>
          </w:p>
        </w:tc>
        <w:tc>
          <w:tcPr>
            <w:tcW w:w="38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</w:tcPr>
          <w:p>
            <w:pPr>
              <w:pStyle w:val="Normal"/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 Security + Inter-Site Tests</w:t>
            </w:r>
          </w:p>
        </w:tc>
      </w:tr>
      <w:tr>
        <w:trPr/>
        <w:tc>
          <w:tcPr>
            <w:tcW w:w="13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AFAFA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37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1F8E9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Review + Abschlusstests</w:t>
            </w:r>
          </w:p>
        </w:tc>
        <w:tc>
          <w:tcPr>
            <w:tcW w:w="38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Bandbreite + Dokumentation + PT-Cleanup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Woche 1 — Grundkonfiguration Wien &amp; ISP-Start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1F4E79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22"/>
                <w:szCs w:val="22"/>
              </w:rPr>
              <w:t>Woche 1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2E7D3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Nataliia — bereits vollständig erledigt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6510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Anh — bereits vollständig erledigt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1F8E9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3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Topologie definiert, Geräte in PT platziert und verkabelt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IP-Schema / VLSM: alle Subnetze berechnet (/27, /28, /29, /30)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Transit-Netze und GRE-Tunnel-Netze /30 berechnet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Öffentliches Netz 199.122.10.128/30 berechnet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VLAN-Schema erstellt (VLAN 10/20/30)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WEB-Server: statische IP 199.122.10.130, HTTP aktiviert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Border-Router: Gi0/0 (→WEB-Server), Gi0/1 (→HQ-Wien)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HQ-Wien-Router: Router-on-a-Stick (Gi0/0.10 / .20 / .30)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HQ-Wien-Router: DHCP Pools VLAN 10 und VLAN 20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Switch0: VLANs, Access-Ports, Trunks Fa0/23 und Fa0/24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Switch1: VLANs, Access-Ports inkl. File-Server, Trunk Fa0/24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</w:rPr>
              <w:t>Endgeräte: PC1–PC4 DHCP, File-Server statisch 10.99.128.114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Lokale Ping-Tests Wien (VLANs, File-Server, Gateways)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Screenshots: show ip interface brief (HQ-Router, beide Switches)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>Screenshots: show ip dhcp binding, show vlan brief, Ping-Tests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Netzdiagramm: Topologie mit IP-Adressen, Masken, VLANs, Tunneln zeichnen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PT-Topologie prüfen und fehlende Geräte / Kabel ergänzen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ISP-Router: Gi0/0 → HQ-Wien (10.99.128.122)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ISP-Router: Gi0/1 → Branch Linz (10.99.128.125)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ISP-Router: Gi0/2 → Branch Graz (10.99.128.129)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E65100"/>
                <w:sz w:val="18"/>
                <w:szCs w:val="18"/>
              </w:rPr>
              <w:t>Keine statischen Routen zu internen Netzen — Transit-Netze sind directly connected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Branch-Linz-Router: Gi0/0 → Switch2 (10.99.128.33)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Branch-Linz-Router: Gi0/1 → ISP (10.99.128.126)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color w:val="000000"/>
                <w:sz w:val="18"/>
                <w:szCs w:val="18"/>
                <w:lang w:val="en-US"/>
              </w:rPr>
              <w:t>Branch-Linz-Router: DHCP Pool 10.99.128.32/27, Gateway 10.99.128.33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color w:val="000000"/>
                <w:sz w:val="18"/>
                <w:szCs w:val="18"/>
                <w:lang w:val="en-US"/>
              </w:rPr>
              <w:t>Switch2: Access-Port Fa0/1 (PC5), Uplink Fa0/24 → Router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✅ </w:t>
            </w:r>
            <w:r>
              <w:rPr>
                <w:color w:val="000000"/>
                <w:sz w:val="18"/>
                <w:szCs w:val="18"/>
              </w:rPr>
              <w:t>Linz-PC5: DHCP, IP aus 10.99.128.34–62 prüfen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color w:val="000000"/>
                <w:sz w:val="18"/>
                <w:szCs w:val="18"/>
                <w:lang w:val="en-US"/>
              </w:rPr>
              <w:t>Screenshot: show ip interface brief auf ISP-Router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color w:val="000000"/>
                <w:sz w:val="18"/>
                <w:szCs w:val="18"/>
                <w:lang w:val="en-US"/>
              </w:rPr>
              <w:t>Screenshot: Ping-Test ISP ↔ HQ-Wien, ISP ↔ Linz, ISP ↔ Graz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b/>
                <w:bCs/>
                <w:color w:val="2E7D32"/>
                <w:sz w:val="18"/>
                <w:szCs w:val="18"/>
                <w:lang w:val="en-US"/>
              </w:rPr>
              <w:t xml:space="preserve">✅ </w:t>
            </w:r>
            <w:r>
              <w:rPr>
                <w:color w:val="000000"/>
                <w:sz w:val="18"/>
                <w:szCs w:val="18"/>
                <w:lang w:val="en-US"/>
              </w:rPr>
              <w:t>Screenshot: show ip interface brief auf Linz-Router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rPr/>
      </w:pPr>
      <w:r>
        <w:rPr/>
        <w:t>Woche 2 — GRE-Tunnel &amp; NAT/PAT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1A6B3C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22"/>
                <w:szCs w:val="22"/>
              </w:rPr>
              <w:t>Woche 2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2E7D3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Nataliia — GRE Tunnel (HQ-Seite) + NAT/PAT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6510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Anh — GRE (Branch-Seite) + Branch Graz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8F5E9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/>
              <w:t>HQ-Wien-Router: Interface zum ISP konfigurieren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/>
              <w:t>Gi0/2 → ISP: 10.99.128.121/30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HQ-Wien-Router: Default-Route → Border-Router (10.99.128.134)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GRE Tunnel0: HQ-Wien ↔ Branch Linz, HQ-Seite (10.99.128.137)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GRE Tunnel1: HQ-Wien ↔ Branch Graz, HQ-Seite (10.99.128.141)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Statische Route: Linz-Netz 10.99.128.32/27 über Tunnel0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Statische Route: Graz-Netz 10.99.128.96/28 über Tunnel1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NAT-ACL erstellen: VLAN 10 und VLAN 20 erfassen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Border-Router: ip nat inside (Gi0/1), ip nat outside (Gi0/0)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NAT overload konfigurieren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Test: Wien-PC → externes Netz / WEB-Server über NAT/PAT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interface tunnel 0 und tunnel 1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Screenshot: show ip nat translations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ip nat statistics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GRE Tunnel0: Branch Linz ↔ HQ-Wien, Linz-Seite (10.99.128.138)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Statische Route auf Linz-Router: Wien-Netze über Tunnel0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Branch-Graz-Router: Gi0/0 → Switch3 (10.99.128.97)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Branch-Graz-Router: Gi0/2 → ISP (10.99.128.130)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Branch-Graz-Router: DHCP Pool 10.99.128.96/28, Gateway 10.99.128.97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Switch3: Access-Port Fa0/1 (PC6), Uplink Fa0/24 → Router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Graz-PC6: DHCP, IP aus 10.99.128.98–110 prüfen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GRE Tunnel1: Branch Graz ↔ HQ-Wien, Graz-Seite (10.99.128.142)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Statische Route auf Graz-Router: Wien-Netze über Tunnel1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interface tunnel 0 auf Linz-Router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ip dhcp binding auf Linz- und Graz-Router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Ping-Test Linz-PC5 → HQ-Wien Gateway über Tunnel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ip interface brief auf Graz-Router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r>
        <w:rPr>
          <w:lang w:val="en-US"/>
        </w:rPr>
        <w:t>Woche 3 — ACL, Port Security &amp; Inter-Site Tests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6A0DAD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22"/>
                <w:szCs w:val="22"/>
              </w:rPr>
              <w:t>Woche 3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2E7D3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bCs/>
                <w:color w:val="FFFFFF"/>
                <w:lang w:val="en-US"/>
              </w:rPr>
              <w:t>Nataliia — ACL File-Server + Security-Doku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6510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bCs/>
                <w:color w:val="FFFFFF"/>
                <w:lang w:val="en-US"/>
              </w:rPr>
              <w:t>Anh — Port Security + WAN-Tests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8F5E9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ACL für File-Server: interne berechtigte Netze erlauben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Externen Zugriff auf File-Server (10.99.128.114) blockieren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ACL auf HQ-Wien-Router anwenden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Test: Wien-PC → File-Server → muss funktionieren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Test: externer Host → File-Server → muss scheitern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b/>
                <w:bCs/>
                <w:color w:val="E65100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E65100"/>
                <w:sz w:val="18"/>
                <w:szCs w:val="18"/>
              </w:rPr>
              <w:t>Linz/Graz über GRE = internes Firmennetz. Nur bei ausdrücklicher Lehreranforderung blockieren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Security-Abschnitt schreiben: NAT/PAT-Konzept, ACL-Regeln erklären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access-lists auf HQ-Wien-Router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Ping-Test Wien-PC → File-Server (erfolgreich)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Ping-Test extern → File-Server (geblockt)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Inter-Site Ping-Tests: Linz → Wien, Graz → Wien, Linz ↔ Graz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HTTP-Test: Linz-PC und Graz-PC → WEB-Server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Port Security Switch0: alle Access-Ports, max. 1 MAC, violation shutdown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Port Security Switch1: alle Access-Ports inkl. File-Server-Port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Port Security Switch2 (Linz): Access-Port Fa0/1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Port Security Switch3 (Graz): Access-Port Fa0/1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Port-Security-Test: fremdes Gerät → Port in err-disabled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Port-Security-Abschnitt für Dokumentation schreiben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Inter-Site Ping-Tests (Linz→Wien, Graz→Wien, Linz↔Graz)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HTTP-Test von Linz/Graz → WEB-Server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show port-security interface auf allen 4 Switches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Port err-disabled nach Security-Test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1"/>
        <w:rPr/>
      </w:pPr>
      <w:r>
        <w:rPr/>
        <w:t>Woche 4 — Abschlusstests &amp; Dokumentation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B8590A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22"/>
                <w:szCs w:val="22"/>
              </w:rPr>
              <w:t>Woche 4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2E7D32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Nataliia — Review + Abschlusstests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6510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Anh — Dokumentation + PT-Cleanup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E8F5E9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Alle eigenen Tests wiederholen, Screenshots sammeln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DHCP, VLANs, File-Server, WEB-Server, Border-Router final prüfen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IP-Schema und VLAN-Schema für Dokumentation finalisieren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Gesamtdokumentation gegenlesen und Feedback geben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Gesamtübersicht show ip interface brief HQ-Router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Screenshot: Finale NAT- und ACL-Ausgaben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color="auto" w:fill="FFF3E0" w:val="clear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Bandbreitenbedarf und -auslegung berechnen und tabellarisieren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Netzdiagramm finalisieren: alle IP-Adressen, Masken, VLANs, Tunnel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Gesamtdokumentation zusammenführen und formatieren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Finale Testtabelle erstellen (alle Szenarien mit Ergebnis + Screenshots)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PacketTracer-Datei aufräumen: Hostnamen, Beschriftungen, Übersicht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Abschlusspräsentation vorbereiten</w:t>
            </w:r>
          </w:p>
          <w:p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Screenshot: Routing-Tabellen aller Branch-Router (show ip route)</w:t>
            </w:r>
          </w:p>
          <w:p>
            <w:pPr>
              <w:pStyle w:val="ListParagraph"/>
              <w:numPr>
                <w:ilvl w:val="0"/>
                <w:numId w:val="1"/>
              </w:numPr>
              <w:rPr/>
            </w:pPr>
            <w:r>
              <w:rPr>
                <w:color w:val="000000"/>
                <w:sz w:val="18"/>
                <w:szCs w:val="18"/>
              </w:rPr>
              <w:t>Screenshot: Finale Inter-Site Verbindungstests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1"/>
        <w:rPr/>
      </w:pPr>
      <w:r>
        <w:rPr/>
        <w:t>Technische Hinweise</w:t>
      </w:r>
    </w:p>
    <w:p>
      <w:pPr>
        <w:pStyle w:val="Normal"/>
        <w:spacing w:before="160" w:after="60"/>
        <w:rPr/>
      </w:pPr>
      <w:r>
        <w:rPr>
          <w:b/>
          <w:bCs/>
          <w:color w:val="1F4E79"/>
        </w:rPr>
        <w:t xml:space="preserve">Tunnel-Nummerierung: </w:t>
      </w:r>
      <w:r>
        <w:rPr/>
        <w:t>Tunnel0 = HQ-Wien ↔ Branch Linz (10.99.128.136/30). Tunnel1 = HQ-Wien ↔ Branch Graz (10.99.128.140/30). Diese Nummerierung gilt konsistent auf allen Routern.</w:t>
      </w:r>
    </w:p>
    <w:p>
      <w:pPr>
        <w:pStyle w:val="Normal"/>
        <w:spacing w:before="160" w:after="60"/>
        <w:rPr/>
      </w:pPr>
      <w:r>
        <w:rPr>
          <w:b/>
          <w:bCs/>
          <w:color w:val="1F4E79"/>
        </w:rPr>
        <w:t xml:space="preserve">ISP-Router Routing: </w:t>
      </w:r>
      <w:r>
        <w:rPr/>
        <w:t>Der ISP-Router benötigt keine statischen Routen zu den internen Firmennetzwerken. Die drei Transit-Netze (/30) sind directly connected und erscheinen automatisch in der Routing-Tabelle. Interne Netze laufen durch die GRE-Tunnel.</w:t>
      </w:r>
    </w:p>
    <w:p>
      <w:pPr>
        <w:pStyle w:val="Normal"/>
        <w:spacing w:before="160" w:after="60"/>
        <w:rPr/>
      </w:pPr>
      <w:r>
        <w:rPr>
          <w:b/>
          <w:bCs/>
          <w:color w:val="1F4E79"/>
        </w:rPr>
        <w:t xml:space="preserve">File-Server ACL: </w:t>
      </w:r>
      <w:r>
        <w:rPr/>
        <w:t>Laut Aufgabenstellung darf auf den File-Server nur intern zugegriffen werden. Linz und Graz sind über GRE Teil des Intranets. Nur externer Zugriff muss blockiert werden. Eine Einschränkung auf Wien-VLANs nur bei ausdrücklicher Lehreranforderung vornehmen.</w:t>
      </w:r>
    </w:p>
    <w:p>
      <w:pPr>
        <w:pStyle w:val="Normal"/>
        <w:spacing w:before="160" w:after="60"/>
        <w:rPr/>
      </w:pPr>
      <w:r>
        <w:rPr>
          <w:b/>
          <w:bCs/>
          <w:color w:val="1F4E79"/>
        </w:rPr>
        <w:t xml:space="preserve">NAT/PAT Test: </w:t>
      </w:r>
      <w:r>
        <w:rPr/>
        <w:t>Test korrekt formulieren: 'Wien-PC → externes Netz / WEB-Server über NAT/PAT'. Der WEB-Server dient dabei als externer Testserver.</w:t>
      </w:r>
    </w:p>
    <w:p>
      <w:pPr>
        <w:pStyle w:val="Normal"/>
        <w:spacing w:before="160" w:after="60"/>
        <w:rPr/>
      </w:pPr>
      <w:r>
        <w:rPr>
          <w:b/>
          <w:bCs/>
          <w:color w:val="1F4E79"/>
        </w:rPr>
        <w:t xml:space="preserve">Prozentangaben: </w:t>
      </w:r>
      <w:r>
        <w:rPr/>
        <w:t>Alle Anteile sind geschätzt auf Basis des Konfigurationsaufwands. Eine offizielle Bewertungsmatrix kann abweichen.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18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A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de-AT" w:eastAsia="de-A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de-AT" w:eastAsia="de-AT" w:bidi="ar-SA"/>
    </w:rPr>
  </w:style>
  <w:style w:type="paragraph" w:styleId="Heading1">
    <w:name w:val="Heading 1"/>
    <w:uiPriority w:val="9"/>
    <w:qFormat/>
    <w:pPr>
      <w:widowControl/>
      <w:bidi w:val="0"/>
      <w:spacing w:before="300" w:after="200"/>
      <w:jc w:val="left"/>
      <w:outlineLvl w:val="0"/>
    </w:pPr>
    <w:rPr>
      <w:rFonts w:ascii="Arial" w:hAnsi="Arial" w:eastAsia="Arial" w:cs="Arial"/>
      <w:b/>
      <w:bCs/>
      <w:color w:val="1F4E79"/>
      <w:kern w:val="0"/>
      <w:sz w:val="36"/>
      <w:szCs w:val="36"/>
      <w:lang w:val="de-AT" w:eastAsia="de-AT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240" w:after="120"/>
      <w:jc w:val="left"/>
      <w:outlineLvl w:val="1"/>
    </w:pPr>
    <w:rPr>
      <w:rFonts w:ascii="Arial" w:hAnsi="Arial" w:eastAsia="Arial" w:cs="Arial"/>
      <w:b/>
      <w:bCs/>
      <w:color w:val="1F5C99"/>
      <w:kern w:val="0"/>
      <w:sz w:val="28"/>
      <w:szCs w:val="28"/>
      <w:lang w:val="de-AT" w:eastAsia="de-AT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Arial" w:hAnsi="Arial" w:eastAsia="Arial" w:cs="Arial"/>
      <w:color w:val="1F4D78"/>
      <w:kern w:val="0"/>
      <w:sz w:val="24"/>
      <w:szCs w:val="24"/>
      <w:lang w:val="de-AT" w:eastAsia="de-AT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Arial" w:hAnsi="Arial" w:eastAsia="Arial" w:cs="Arial"/>
      <w:i/>
      <w:iCs/>
      <w:color w:val="2E74B5"/>
      <w:kern w:val="0"/>
      <w:sz w:val="20"/>
      <w:szCs w:val="20"/>
      <w:lang w:val="de-AT" w:eastAsia="de-AT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Arial" w:hAnsi="Arial" w:eastAsia="Arial" w:cs="Arial"/>
      <w:color w:val="2E74B5"/>
      <w:kern w:val="0"/>
      <w:sz w:val="20"/>
      <w:szCs w:val="20"/>
      <w:lang w:val="de-AT" w:eastAsia="de-AT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Arial" w:hAnsi="Arial" w:eastAsia="Arial" w:cs="Arial"/>
      <w:color w:val="1F4D78"/>
      <w:kern w:val="0"/>
      <w:sz w:val="20"/>
      <w:szCs w:val="20"/>
      <w:lang w:val="de-AT" w:eastAsia="de-AT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unotentextZchn" w:customStyle="1">
    <w:name w:val="Fußnotentext Zchn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ntextZchn" w:customStyle="1">
    <w:name w:val="Endnotentext Zchn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56"/>
      <w:szCs w:val="56"/>
      <w:lang w:val="de-AT" w:eastAsia="de-AT" w:bidi="ar-SA"/>
    </w:rPr>
  </w:style>
  <w:style w:type="paragraph" w:styleId="Fett1" w:customStyle="1">
    <w:name w:val="Fett1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de-AT" w:eastAsia="de-AT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de-AT" w:eastAsia="de-AT" w:bidi="ar-SA"/>
    </w:rPr>
  </w:style>
  <w:style w:type="paragraph" w:styleId="FootnoteText">
    <w:name w:val="Footnote Text"/>
    <w:link w:val="FunotentextZchn"/>
    <w:uiPriority w:val="99"/>
    <w:semiHidden/>
    <w:unhideWhenUsed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de-AT" w:eastAsia="de-AT" w:bidi="ar-SA"/>
    </w:rPr>
  </w:style>
  <w:style w:type="paragraph" w:styleId="EndnoteText">
    <w:name w:val="Endnote Text"/>
    <w:link w:val="EndnotentextZchn"/>
    <w:uiPriority w:val="99"/>
    <w:semiHidden/>
    <w:unhideWhenUsed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de-AT" w:eastAsia="de-AT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3</Pages>
  <Words>979</Words>
  <Characters>6237</Characters>
  <CharactersWithSpaces>7002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2026-05-13T19:14:00Z</dcterms:created>
  <dc:creator>Un-named</dc:creator>
  <dc:description/>
  <dc:language>en-US</dc:language>
  <cp:lastModifiedBy/>
  <dcterms:modified xsi:type="dcterms:W3CDTF">2026-05-19T22:29:50Z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