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71717"/>
        </w:rPr>
        <w:t>Nội dung Portfolio — Nguyễn Quý Anh</w:t>
      </w:r>
    </w:p>
    <w:p>
      <w:r>
        <w:rPr>
          <w:i/>
        </w:rPr>
        <w:t>Bản đang publish: Nổi bật (bold) — tài liệu này liệt kê từng vị trí trên trang và nội dung tiếng Việt tương ứng, theo đúng thứ tự cuộn từ trên xuống.</w:t>
      </w:r>
    </w:p>
    <w:p>
      <w:r>
        <w:rPr>
          <w:color w:val="6E6E6E"/>
          <w:sz w:val="19"/>
        </w:rPr>
        <w:t>Nguồn dữ liệu duy nhất: data/content.json. Trang có bản tiếng Anh song song cho mọi mục — tài liệu này chỉ liệt kê bản tiếng Việt để dễ đọc/sửa; bản tiếng Anh dịch sát nghĩa, nằm cùng vị trí trong content.json.</w:t>
      </w:r>
    </w:p>
    <w:p>
      <w:pPr>
        <w:spacing w:before="80" w:after="280"/>
        <w:pBdr>
          <w:bottom w:val="single" w:sz="6" w:space="1" w:color="DDDDDD"/>
        </w:pBdr>
      </w:pPr>
    </w:p>
    <w:p>
      <w:pPr>
        <w:pStyle w:val="Heading1"/>
      </w:pPr>
      <w:r>
        <w:rPr>
          <w:color w:val="C21E1E"/>
        </w:rPr>
        <w:t>1. Thanh điều hướng (Header)</w:t>
      </w:r>
    </w:p>
    <w:p>
      <w:pPr>
        <w:spacing w:after="120"/>
      </w:pPr>
      <w:r>
        <w:rPr>
          <w:b/>
        </w:rPr>
        <w:t xml:space="preserve">Vị trí: </w:t>
      </w:r>
      <w:r>
        <w:rPr>
          <w:i/>
          <w:color w:val="6E6E6E"/>
        </w:rPr>
        <w:t>Thanh cố định trên cùng, luôn hiển thị khi cuộn trang</w:t>
      </w:r>
    </w:p>
    <w:p>
      <w:pPr>
        <w:spacing w:after="60"/>
      </w:pPr>
      <w:r>
        <w:rPr>
          <w:b/>
        </w:rPr>
        <w:t xml:space="preserve">Logo góc trái: </w:t>
      </w:r>
      <w:r>
        <w:t>Mason.</w:t>
      </w:r>
    </w:p>
    <w:p>
      <w:pPr>
        <w:spacing w:after="60"/>
      </w:pPr>
      <w:r>
        <w:rPr>
          <w:b/>
        </w:rPr>
        <w:t xml:space="preserve">Menu điều hướng: </w:t>
      </w:r>
      <w:r>
        <w:t>Giới thiệu · Kinh nghiệm · Dự án · Kỹ năng · Học vấn · Liên hệ</w:t>
      </w:r>
    </w:p>
    <w:p>
      <w:pPr>
        <w:spacing w:after="60"/>
      </w:pPr>
      <w:r>
        <w:rPr>
          <w:b/>
        </w:rPr>
        <w:t xml:space="preserve">Nút tròn góc phải: </w:t>
      </w:r>
      <w:r>
        <w:t>EN (bấm để đổi ngôn ngữ toàn trang sang tiếng Anh)</w:t>
      </w:r>
    </w:p>
    <w:p>
      <w:pPr>
        <w:spacing w:after="60"/>
      </w:pPr>
      <w:r>
        <w:rPr>
          <w:b/>
        </w:rPr>
        <w:t xml:space="preserve">Nút bo tròn cạnh đó: </w:t>
      </w:r>
      <w:r>
        <w:t>Tải CV (tải CV PDF)</w:t>
      </w:r>
    </w:p>
    <w:p>
      <w:pPr>
        <w:spacing w:before="80" w:after="280"/>
        <w:pBdr>
          <w:bottom w:val="single" w:sz="6" w:space="1" w:color="DDDDDD"/>
        </w:pBdr>
      </w:pPr>
    </w:p>
    <w:p>
      <w:pPr>
        <w:pStyle w:val="Heading1"/>
      </w:pPr>
      <w:r>
        <w:rPr>
          <w:color w:val="C21E1E"/>
        </w:rPr>
        <w:t>2. Banner đầu trang (Hero)</w:t>
      </w:r>
    </w:p>
    <w:p>
      <w:pPr>
        <w:spacing w:after="120"/>
      </w:pPr>
      <w:r>
        <w:rPr>
          <w:b/>
        </w:rPr>
        <w:t xml:space="preserve">Vị trí: </w:t>
      </w:r>
      <w:r>
        <w:rPr>
          <w:i/>
          <w:color w:val="6E6E6E"/>
        </w:rPr>
        <w:t>Phần đầu tiên nhìn thấy khi mở trang, chiếm trọn màn hình đầu</w:t>
      </w:r>
    </w:p>
    <w:p>
      <w:pPr>
        <w:spacing w:after="60"/>
      </w:pPr>
      <w:r>
        <w:rPr>
          <w:b/>
        </w:rPr>
        <w:t xml:space="preserve">Dòng nhỏ phía trên tiêu đề: </w:t>
      </w:r>
      <w:r>
        <w:t>Về tôi</w:t>
      </w:r>
    </w:p>
    <w:p>
      <w:pPr>
        <w:spacing w:after="60"/>
      </w:pPr>
      <w:r>
        <w:rPr>
          <w:b/>
        </w:rPr>
        <w:t xml:space="preserve">Tiêu đề chính (chữ to nhất trang): </w:t>
      </w:r>
      <w:r>
        <w:t>5 năm làm cầu nối chiến lược giữa Agency và Nhãn hàng — giờ sẵn sàng ngồi phía bên kia bàn.</w:t>
      </w:r>
    </w:p>
    <w:p>
      <w:pPr>
        <w:spacing w:after="60"/>
      </w:pPr>
      <w:r>
        <w:rPr>
          <w:b/>
        </w:rPr>
        <w:t xml:space="preserve">Mô tả phụ dưới tiêu đề: </w:t>
      </w:r>
      <w:r>
        <w:t>Tôi là Quý Anh — chuyên gia Quản lý Dự án Marketing, từng trực tiếp điều phối hơn 40 chiến dịch IMC cho Vietnam Airlines, Panasonic, Long Hải, Sông Hồng và nhiều nhãn hàng lớn khác.</w:t>
      </w:r>
    </w:p>
    <w:p>
      <w:pPr>
        <w:spacing w:after="60"/>
      </w:pPr>
      <w:r>
        <w:rPr>
          <w:b/>
        </w:rPr>
        <w:t xml:space="preserve">Nút 1: </w:t>
      </w:r>
      <w:r>
        <w:t>Liên hệ → cuộn xuống mục Liên hệ</w:t>
      </w:r>
    </w:p>
    <w:p>
      <w:pPr>
        <w:spacing w:after="60"/>
      </w:pPr>
      <w:r>
        <w:rPr>
          <w:b/>
        </w:rPr>
        <w:t xml:space="preserve">Nút 2: </w:t>
      </w:r>
      <w:r>
        <w:t>Tải CV → tải file CV PDF</w:t>
      </w:r>
    </w:p>
    <w:p>
      <w:pPr>
        <w:spacing w:after="60"/>
      </w:pPr>
      <w:r>
        <w:rPr>
          <w:b/>
        </w:rPr>
        <w:t xml:space="preserve">Ảnh bên phải: </w:t>
      </w:r>
      <w:r>
        <w:t>Ảnh chân dung (đứng trước cổng gỗ cổ), viền gradient đỏ, hiệu ứng parallax nhẹ khi cuộn + chữ ký viết tay màu đỏ "Mason Nguyen" đè góc dưới ảnh + thẻ nổi (badge) góc trên hiện chức danh "Senior Account Executive &amp; Quản lý Dự án"</w:t>
      </w:r>
    </w:p>
    <w:p>
      <w:pPr>
        <w:spacing w:after="60"/>
      </w:pPr>
      <w:r>
        <w:rPr>
          <w:b/>
        </w:rPr>
        <w:t xml:space="preserve">Cuối phần hero: </w:t>
      </w:r>
      <w:r>
        <w:t>Cuộn xuống (chữ nhỏ mời cuộn tiếp, có gạch đỏ chạy)</w:t>
      </w:r>
    </w:p>
    <w:p>
      <w:pPr>
        <w:spacing w:before="80" w:after="280"/>
        <w:pBdr>
          <w:bottom w:val="single" w:sz="6" w:space="1" w:color="DDDDDD"/>
        </w:pBdr>
      </w:pPr>
    </w:p>
    <w:p>
      <w:pPr>
        <w:pStyle w:val="Heading1"/>
      </w:pPr>
      <w:r>
        <w:rPr>
          <w:color w:val="C21E1E"/>
        </w:rPr>
        <w:t>3. Khách hàng đã hợp tác (Clients)</w:t>
      </w:r>
    </w:p>
    <w:p>
      <w:pPr>
        <w:spacing w:after="120"/>
      </w:pPr>
      <w:r>
        <w:rPr>
          <w:b/>
        </w:rPr>
        <w:t xml:space="preserve">Vị trí: </w:t>
      </w:r>
      <w:r>
        <w:rPr>
          <w:i/>
          <w:color w:val="6E6E6E"/>
        </w:rPr>
        <w:t>Ngay dưới Hero (bản Bold: lưới thẻ logo có hover + bấm vào để nhảy tới case study liên quan; bản Minimal: dải pill tên)</w:t>
      </w:r>
    </w:p>
    <w:p>
      <w:pPr>
        <w:spacing w:after="60"/>
      </w:pPr>
      <w:r>
        <w:rPr>
          <w:b/>
        </w:rPr>
        <w:t xml:space="preserve">Nhãn nhỏ: </w:t>
      </w:r>
      <w:r>
        <w:t>Khách hàng đã hợp tác</w:t>
      </w:r>
    </w:p>
    <w:p>
      <w:pPr>
        <w:spacing w:after="60"/>
      </w:pPr>
      <w:r>
        <w:rPr>
          <w:b/>
        </w:rPr>
        <w:t xml:space="preserve">Tổng số: </w:t>
      </w:r>
      <w:r>
        <w:t>28 khách hàng (25 có logo, 3 chỉ hiện tên, 5 bấm vào nhảy tới case study)</w:t>
      </w:r>
    </w:p>
    <w:p>
      <w:pPr>
        <w:pStyle w:val="ListBullet"/>
        <w:spacing w:after="40"/>
      </w:pPr>
      <w:r>
        <w:t>Doanh nghiệp lớn trong nước: Vietnam Airlines*→case study, Mavin*, BCC Pharma*, Long Hải*, Hồng Hà*, VTVcab*, Chăn ga gối Sông Hồng*→case study, Kova*, PV Pharma*, BIM Land*</w:t>
      </w:r>
    </w:p>
    <w:p>
      <w:pPr>
        <w:pStyle w:val="ListBullet"/>
        <w:spacing w:after="40"/>
      </w:pPr>
      <w:r>
        <w:t>Doanh nghiệp toàn cầu: Panasonic*→case study, Panasonic Cooking*→case study, PVI AM*, The Ascott*, Kalite*, UKG, Leben Community Vietnam*, JNTO*</w:t>
      </w:r>
    </w:p>
    <w:p>
      <w:pPr>
        <w:pStyle w:val="ListBullet"/>
        <w:spacing w:after="40"/>
      </w:pPr>
      <w:r>
        <w:t>Doanh nghiệp SME: VPBank SME→case study, Trần Phú, DVN*, TH*, Cáp điện Việt Hàn*, Vietnam Robotics*, Anmira Resort &amp; Spa*, Tien Cuong*, Bon Chon*, Volwatt Việt Nam*</w:t>
      </w:r>
    </w:p>
    <w:p>
      <w:pPr>
        <w:spacing w:before="80" w:after="280"/>
        <w:pBdr>
          <w:bottom w:val="single" w:sz="6" w:space="1" w:color="DDDDDD"/>
        </w:pBdr>
      </w:pPr>
    </w:p>
    <w:p>
      <w:pPr>
        <w:pStyle w:val="Heading1"/>
      </w:pPr>
      <w:r>
        <w:rPr>
          <w:color w:val="C21E1E"/>
        </w:rPr>
        <w:t>4. Giới thiệu (About)</w:t>
      </w:r>
    </w:p>
    <w:p>
      <w:pPr>
        <w:spacing w:after="120"/>
      </w:pPr>
      <w:r>
        <w:rPr>
          <w:b/>
        </w:rPr>
        <w:t xml:space="preserve">Vị trí: </w:t>
      </w:r>
      <w:r>
        <w:rPr>
          <w:i/>
          <w:color w:val="6E6E6E"/>
        </w:rPr>
        <w:t>Section thứ 2 sau dải khách hàng — id="about", trong menu là mục "Giới thiệu"</w:t>
      </w:r>
    </w:p>
    <w:p>
      <w:pPr>
        <w:spacing w:after="60"/>
      </w:pPr>
      <w:r>
        <w:rPr>
          <w:b/>
        </w:rPr>
        <w:t xml:space="preserve">Nhãn nhỏ: </w:t>
      </w:r>
      <w:r>
        <w:t>Giới thiệu</w:t>
      </w:r>
    </w:p>
    <w:p>
      <w:pPr>
        <w:spacing w:after="60"/>
      </w:pPr>
      <w:r>
        <w:rPr>
          <w:b/>
        </w:rPr>
        <w:t xml:space="preserve">Tiêu đề section: </w:t>
      </w:r>
      <w:r>
        <w:t>Giới thiệu bản thân</w:t>
      </w:r>
    </w:p>
    <w:p>
      <w:pPr>
        <w:pStyle w:val="Heading2"/>
      </w:pPr>
      <w:r>
        <w:rPr>
          <w:color w:val="171717"/>
        </w:rPr>
        <w:t>3 đoạn văn giới thiệu (cột trái)</w:t>
      </w:r>
    </w:p>
    <w:p>
      <w:pPr>
        <w:pStyle w:val="ListBullet"/>
        <w:spacing w:after="40"/>
      </w:pPr>
      <w:r>
        <w:t>Đoạn 1: Tôi là chuyên gia Quản lý Tài khoản (Account Management) và Quản lý Dự án với hơn 5 năm kinh nghiệm tại môi trường Agency — bắt đầu từ vị trí Marketing Intern và phát triển lên Senior Account Executive tại Novaon Digital.</w:t>
      </w:r>
    </w:p>
    <w:p>
      <w:pPr>
        <w:pStyle w:val="ListBullet"/>
        <w:spacing w:after="40"/>
      </w:pPr>
      <w:r>
        <w:t>Đoạn 2: Vai trò của tôi là cầu nối chiến lược giữa Agency và Khách hàng: tổng hợp, phân tích thông tin và điều phối các chiến dịch truyền thông tích hợp (IMC) đa kênh. Tôi đã có kinh nghiệm thực chiến trong nhiều ngành lớn như Hàng không, Điện máy, Bán lẻ và Ngân hàng.</w:t>
      </w:r>
    </w:p>
    <w:p>
      <w:pPr>
        <w:pStyle w:val="ListBullet"/>
        <w:spacing w:after="40"/>
      </w:pPr>
      <w:r>
        <w:t>Đoạn 3: Mục tiêu tiếp theo là mang tư duy quản trị chiến dịch và tối ưu vận hành đã tích lũy ở Agency sang một đội ngũ Marketing phía nhãn hàng, đồng thời tiếp tục phát triển năng lực quản trị kinh doanh với kế hoạch học Thạc sĩ Quản trị Kinh doanh (MBA) tại Vương quốc Anh vào năm 2027.</w:t>
      </w:r>
    </w:p>
    <w:p>
      <w:pPr>
        <w:pStyle w:val="Heading2"/>
      </w:pPr>
      <w:r>
        <w:rPr>
          <w:color w:val="171717"/>
        </w:rPr>
        <w:t>2 ảnh (cột phải)</w:t>
      </w:r>
    </w:p>
    <w:p>
      <w:pPr>
        <w:pStyle w:val="ListBullet"/>
        <w:spacing w:after="40"/>
      </w:pPr>
      <w:r>
        <w:t>Ảnh 1: chân dung tại cầu ngói cổ (nhìn từ phía sau)</w:t>
      </w:r>
    </w:p>
    <w:p>
      <w:pPr>
        <w:pStyle w:val="ListBullet"/>
        <w:spacing w:after="40"/>
      </w:pPr>
      <w:r>
        <w:t>Ảnh 2: chân dung nghiêng, phông nền núi và hồ</w:t>
      </w:r>
    </w:p>
    <w:p>
      <w:pPr>
        <w:pStyle w:val="Heading2"/>
      </w:pPr>
      <w:r>
        <w:rPr>
          <w:color w:val="171717"/>
        </w:rPr>
        <w:t>4 số liệu thống kê (đếm chạy khi cuộn tới, dưới cùng section)</w:t>
      </w:r>
    </w:p>
    <w:p>
      <w:pPr>
        <w:pStyle w:val="ListBullet"/>
        <w:spacing w:after="40"/>
      </w:pPr>
      <w:r>
        <w:t>5+ — năm kinh nghiệm Agency</w:t>
      </w:r>
    </w:p>
    <w:p>
      <w:pPr>
        <w:pStyle w:val="ListBullet"/>
        <w:spacing w:after="40"/>
      </w:pPr>
      <w:r>
        <w:t>40+ — dự án đã trực tiếp quản lý</w:t>
      </w:r>
    </w:p>
    <w:p>
      <w:pPr>
        <w:pStyle w:val="ListBullet"/>
        <w:spacing w:after="40"/>
      </w:pPr>
      <w:r>
        <w:t>150 tỷ VNĐ — tổng ngân sách đã điều phối</w:t>
      </w:r>
    </w:p>
    <w:p>
      <w:pPr>
        <w:pStyle w:val="ListBullet"/>
        <w:spacing w:after="40"/>
      </w:pPr>
      <w:r>
        <w:t>85% — tỷ lệ giữ chân khách hàng</w:t>
      </w:r>
    </w:p>
    <w:p>
      <w:pPr>
        <w:pStyle w:val="ListBullet"/>
        <w:spacing w:after="40"/>
      </w:pPr>
      <w:r>
        <w:t>2.5% — Chỉ số ROAS</w:t>
      </w:r>
    </w:p>
    <w:p>
      <w:pPr>
        <w:spacing w:before="80" w:after="280"/>
        <w:pBdr>
          <w:bottom w:val="single" w:sz="6" w:space="1" w:color="DDDDDD"/>
        </w:pBdr>
      </w:pPr>
    </w:p>
    <w:p>
      <w:pPr>
        <w:pStyle w:val="Heading1"/>
      </w:pPr>
      <w:r>
        <w:rPr>
          <w:color w:val="C21E1E"/>
        </w:rPr>
        <w:t>5. Kinh nghiệm làm việc (Experience)</w:t>
      </w:r>
    </w:p>
    <w:p>
      <w:pPr>
        <w:spacing w:after="120"/>
      </w:pPr>
      <w:r>
        <w:rPr>
          <w:b/>
        </w:rPr>
        <w:t xml:space="preserve">Vị trí: </w:t>
      </w:r>
      <w:r>
        <w:rPr>
          <w:i/>
          <w:color w:val="6E6E6E"/>
        </w:rPr>
        <w:t>Section thứ 3 — id="experience", dạng timeline dọc, 3 mốc theo thứ tự mới nhất trước</w:t>
      </w:r>
    </w:p>
    <w:p>
      <w:pPr>
        <w:spacing w:after="60"/>
      </w:pPr>
      <w:r>
        <w:rPr>
          <w:b/>
        </w:rPr>
        <w:t xml:space="preserve">Nhãn nhỏ: </w:t>
      </w:r>
      <w:r>
        <w:t>Lộ trình sự nghiệp</w:t>
      </w:r>
    </w:p>
    <w:p>
      <w:pPr>
        <w:spacing w:after="60"/>
      </w:pPr>
      <w:r>
        <w:rPr>
          <w:b/>
        </w:rPr>
        <w:t xml:space="preserve">Tiêu đề section: </w:t>
      </w:r>
      <w:r>
        <w:t>Kinh nghiệm làm việc</w:t>
      </w:r>
    </w:p>
    <w:p>
      <w:pPr>
        <w:pStyle w:val="Heading2"/>
      </w:pPr>
      <w:r>
        <w:rPr>
          <w:color w:val="171717"/>
        </w:rPr>
        <w:t>Senior Account Executive — Novaon Digital (06/2023 — Hiện tại)</w:t>
      </w:r>
    </w:p>
    <w:p>
      <w:pPr>
        <w:spacing w:after="60"/>
      </w:pPr>
      <w:r>
        <w:rPr>
          <w:b/>
        </w:rPr>
        <w:t xml:space="preserve">Mô tả ngắn: </w:t>
      </w:r>
      <w:r>
        <w:t>Chuyển trọng tâm từ vận hành hằng ngày sang định hướng chiến lược cấp cao, tối ưu hiệu quả và lợi nhuận cho toàn bộ danh mục chiến dịch.</w:t>
      </w:r>
    </w:p>
    <w:p>
      <w:pPr>
        <w:pStyle w:val="ListBullet"/>
        <w:spacing w:after="40"/>
      </w:pPr>
      <w:r>
        <w:t>Định hướng chiến lược cấp cao cho 15 dự án digital marketing lớn, tập trung vào hiệu quả và lợi nhuận tổng thể của chiến dịch.</w:t>
      </w:r>
    </w:p>
    <w:p>
      <w:pPr>
        <w:pStyle w:val="ListBullet"/>
        <w:spacing w:after="40"/>
      </w:pPr>
      <w:r>
        <w:t>Quản lý kỳ vọng của các bên liên quan trên 20 tài khoản trọng điểm, giữ tỷ lệ hài lòng/giữ chân khách hàng ở mức 80%.</w:t>
      </w:r>
    </w:p>
    <w:p>
      <w:pPr>
        <w:pStyle w:val="ListBullet"/>
        <w:spacing w:after="40"/>
      </w:pPr>
      <w:r>
        <w:t>Chuẩn hóa quy trình QA cho toàn bộ sản phẩm sáng tạo và truyền thông, giảm 35% số vòng chỉnh sửa nội bộ.</w:t>
      </w:r>
    </w:p>
    <w:p>
      <w:pPr>
        <w:pStyle w:val="ListBullet"/>
        <w:spacing w:after="40"/>
      </w:pPr>
      <w:r>
        <w:t>Phân tích dữ liệu quảng cáo phức tạp, chuyển hóa thành insight hành động, giúp ROI/ROAS tăng 150% so với mục tiêu ban đầu.</w:t>
      </w:r>
    </w:p>
    <w:p>
      <w:pPr>
        <w:pStyle w:val="ListBullet"/>
        <w:spacing w:after="40"/>
      </w:pPr>
      <w:r>
        <w:t>Dẫn dắt và trao quyền cho đội ngũ chuyên viên trẻ, trực tiếp mentor 9 thực tập sinh marketing, xây dựng tư duy ra quyết định dựa trên dữ liệu.</w:t>
      </w:r>
    </w:p>
    <w:p>
      <w:pPr>
        <w:spacing w:after="60"/>
      </w:pPr>
      <w:r>
        <w:rPr>
          <w:b/>
        </w:rPr>
        <w:t xml:space="preserve">Tag khách hàng liên quan: </w:t>
      </w:r>
      <w:r>
        <w:t>Panasonic, BCC Pharma, PV Pharma, Song Hong, Ascott, Vietnam Airlines</w:t>
      </w:r>
    </w:p>
    <w:p>
      <w:pPr>
        <w:pStyle w:val="Heading2"/>
      </w:pPr>
      <w:r>
        <w:rPr>
          <w:color w:val="171717"/>
        </w:rPr>
        <w:t>Account Executive — Novaon Digital (04/2022 — 05/2023)</w:t>
      </w:r>
    </w:p>
    <w:p>
      <w:pPr>
        <w:spacing w:after="60"/>
      </w:pPr>
      <w:r>
        <w:rPr>
          <w:b/>
        </w:rPr>
        <w:t xml:space="preserve">Mô tả ngắn: </w:t>
      </w:r>
      <w:r>
        <w:t>Trực tiếp quản lý toàn trình các dự án Marketing, Digital Marketing và IMC cho các đối tác nhãn hàng trọng điểm.</w:t>
      </w:r>
    </w:p>
    <w:p>
      <w:pPr>
        <w:pStyle w:val="ListBullet"/>
        <w:spacing w:after="40"/>
      </w:pPr>
      <w:r>
        <w:t>Tư vấn giai đoạn tiền sales, phân tích brief khách hàng để lên báo giá và chiến lược quảng cáo chính xác cho 35 chiến dịch.</w:t>
      </w:r>
    </w:p>
    <w:p>
      <w:pPr>
        <w:pStyle w:val="ListBullet"/>
        <w:spacing w:after="40"/>
      </w:pPr>
      <w:r>
        <w:t>Quản lý toàn trình Marketing, Digital Marketing và IMC cho các đối tác nhãn hàng trọng điểm — lập kế hoạch, xác định phạm vi, tiến độ và ngân sách lên tới 1,8 triệu USD.</w:t>
      </w:r>
    </w:p>
    <w:p>
      <w:pPr>
        <w:pStyle w:val="ListBullet"/>
        <w:spacing w:after="40"/>
      </w:pPr>
      <w:r>
        <w:t>Điều phối đội ngũ đa chức năng (Media, Design, Planning) gồm 20 thành viên, tối ưu phân bổ nguồn lực và quản lý kỳ vọng khách hàng.</w:t>
      </w:r>
    </w:p>
    <w:p>
      <w:pPr>
        <w:pStyle w:val="ListBullet"/>
        <w:spacing w:after="40"/>
      </w:pPr>
      <w:r>
        <w:t>Theo dõi hiệu quả chiến dịch theo KPI, chủ động quản trị rủi ro và đưa ra giải pháp tức thời để giữ tiến độ dự án.</w:t>
      </w:r>
    </w:p>
    <w:p>
      <w:pPr>
        <w:pStyle w:val="ListBullet"/>
        <w:spacing w:after="40"/>
      </w:pPr>
      <w:r>
        <w:t>Đánh giá hiệu quả chiến dịch qua báo cáo hậu kỳ, tính toán ROI/ROAS — cho thấy mức tăng 180% giá trị chiến dịch mang lại cho nhãn hàng.</w:t>
      </w:r>
    </w:p>
    <w:p>
      <w:pPr>
        <w:spacing w:after="60"/>
      </w:pPr>
      <w:r>
        <w:rPr>
          <w:b/>
        </w:rPr>
        <w:t xml:space="preserve">Tag khách hàng liên quan: </w:t>
      </w:r>
      <w:r>
        <w:t>Long Hai, Song Hong, Ascott, PVI AM, Panasonic, Vietnam Airlines</w:t>
      </w:r>
    </w:p>
    <w:p>
      <w:pPr>
        <w:pStyle w:val="Heading2"/>
      </w:pPr>
      <w:r>
        <w:rPr>
          <w:color w:val="171717"/>
        </w:rPr>
        <w:t>Marketing Intern — Novaon Digital (06/2021 — 03/2022)</w:t>
      </w:r>
    </w:p>
    <w:p>
      <w:pPr>
        <w:spacing w:after="60"/>
      </w:pPr>
      <w:r>
        <w:rPr>
          <w:b/>
        </w:rPr>
        <w:t xml:space="preserve">Mô tả ngắn: </w:t>
      </w:r>
      <w:r>
        <w:t>Giai đoạn làm quen với cơ chế vận hành Agency và cấu trúc phối hợp đa phòng ban, xây dựng tư duy chủ động giải quyết vấn đề.</w:t>
      </w:r>
    </w:p>
    <w:p>
      <w:pPr>
        <w:pStyle w:val="ListBullet"/>
        <w:spacing w:after="40"/>
      </w:pPr>
      <w:r>
        <w:t>Hỗ trợ tư vấn và bán hàng, trực tiếp giới thiệu giải pháp digital marketing tới 18 khách hàng tiềm năng.</w:t>
      </w:r>
    </w:p>
    <w:p>
      <w:pPr>
        <w:pStyle w:val="ListBullet"/>
        <w:spacing w:after="40"/>
      </w:pPr>
      <w:r>
        <w:t>Phối hợp với các đội Media, Design và Planning để hỗ trợ sản xuất cho 10 chiến dịch marketing.</w:t>
      </w:r>
    </w:p>
    <w:p>
      <w:pPr>
        <w:spacing w:after="60"/>
      </w:pPr>
      <w:r>
        <w:rPr>
          <w:b/>
        </w:rPr>
        <w:t xml:space="preserve">Tag khách hàng liên quan: </w:t>
      </w:r>
      <w:r>
        <w:t>Panasonic Living, Panasonic Cooking, Panasonic Healthcare, Mavin Food</w:t>
      </w:r>
    </w:p>
    <w:p>
      <w:pPr>
        <w:spacing w:before="80" w:after="280"/>
        <w:pBdr>
          <w:bottom w:val="single" w:sz="6" w:space="1" w:color="DDDDDD"/>
        </w:pBdr>
      </w:pPr>
    </w:p>
    <w:p>
      <w:pPr>
        <w:pStyle w:val="Heading1"/>
      </w:pPr>
      <w:r>
        <w:rPr>
          <w:color w:val="C21E1E"/>
        </w:rPr>
        <w:t>6. Dự án nổi bật / Case study (Projects)</w:t>
      </w:r>
    </w:p>
    <w:p>
      <w:pPr>
        <w:spacing w:after="120"/>
      </w:pPr>
      <w:r>
        <w:rPr>
          <w:b/>
        </w:rPr>
        <w:t xml:space="preserve">Vị trí: </w:t>
      </w:r>
      <w:r>
        <w:rPr>
          <w:i/>
          <w:color w:val="6E6E6E"/>
        </w:rPr>
        <w:t>Section thứ 4 — id="projects", mỗi dự án là 1 khối lớn full-width, ảnh xen kẽ trái/phải</w:t>
      </w:r>
    </w:p>
    <w:p>
      <w:pPr>
        <w:spacing w:after="60"/>
      </w:pPr>
      <w:r>
        <w:rPr>
          <w:b/>
        </w:rPr>
        <w:t xml:space="preserve">Nhãn nhỏ: </w:t>
      </w:r>
      <w:r>
        <w:t>Case study</w:t>
      </w:r>
    </w:p>
    <w:p>
      <w:pPr>
        <w:spacing w:after="60"/>
      </w:pPr>
      <w:r>
        <w:rPr>
          <w:b/>
        </w:rPr>
        <w:t xml:space="preserve">Tiêu đề section: </w:t>
      </w:r>
      <w:r>
        <w:t>Dự án nổi bật</w:t>
      </w:r>
    </w:p>
    <w:p>
      <w:pPr>
        <w:pStyle w:val="Heading2"/>
      </w:pPr>
      <w:r>
        <w:rPr>
          <w:color w:val="171717"/>
        </w:rPr>
        <w:t>Dự án 1: Vietnam Airlines</w:t>
      </w:r>
    </w:p>
    <w:p>
      <w:pPr>
        <w:spacing w:after="60"/>
      </w:pPr>
      <w:r>
        <w:rPr>
          <w:b/>
        </w:rPr>
        <w:t xml:space="preserve">Ngành · loại hình: </w:t>
      </w:r>
      <w:r>
        <w:t>Hàng không · Google Search Ads</w:t>
      </w:r>
    </w:p>
    <w:p>
      <w:pPr>
        <w:spacing w:after="60"/>
      </w:pPr>
      <w:r>
        <w:rPr>
          <w:b/>
        </w:rPr>
        <w:t xml:space="preserve">Thời gian: </w:t>
      </w:r>
      <w:r>
        <w:t>2023 — 2026</w:t>
      </w:r>
    </w:p>
    <w:p>
      <w:pPr>
        <w:spacing w:after="60"/>
      </w:pPr>
      <w:r>
        <w:rPr>
          <w:b/>
        </w:rPr>
        <w:t xml:space="preserve">Vấn đề: </w:t>
      </w:r>
      <w:r>
        <w:t>Vietnam Airlines cần vận hành quảng cáo Google Search nhất quán về thông điệp thương hiệu nhưng vẫn phù hợp văn hóa, hành vi tìm kiếm của từng thị trường quốc tế — cùng lúc, không lệch nhịp.</w:t>
      </w:r>
    </w:p>
    <w:p>
      <w:pPr>
        <w:spacing w:after="60"/>
      </w:pPr>
      <w:r>
        <w:rPr>
          <w:b/>
        </w:rPr>
        <w:t xml:space="preserve">Cách triển khai: </w:t>
      </w:r>
      <w:r>
        <w:t>Trực tiếp quản lý chiến dịch Google Search toàn cầu trải dài 24 thị trường quốc tế: lên kế hoạch truyền thông, xây dựng cấu trúc từ khóa theo từng thị trường và địa phương hóa thông điệp quảng cáo (localized ad messaging) cho từng thị trường mục tiêu.</w:t>
      </w:r>
    </w:p>
    <w:p>
      <w:pPr>
        <w:spacing w:after="60"/>
      </w:pPr>
      <w:r>
        <w:rPr>
          <w:b/>
        </w:rPr>
        <w:t xml:space="preserve">Kết quả: </w:t>
      </w:r>
      <w:r>
        <w:t>Vận hành đồng bộ 24 thị trường quốc tế cùng lúc dưới một khung chiến lược chung, đảm bảo nhất quán thương hiệu toàn cầu trong khi vẫn tối ưu theo từng địa phương.</w:t>
      </w:r>
    </w:p>
    <w:p>
      <w:pPr>
        <w:spacing w:after="60"/>
      </w:pPr>
      <w:r>
        <w:rPr>
          <w:b/>
        </w:rPr>
        <w:t xml:space="preserve">Số liệu nổi bật: </w:t>
      </w:r>
      <w:r>
        <w:t>24 thị trường quốc tế</w:t>
      </w:r>
    </w:p>
    <w:p>
      <w:pPr>
        <w:pStyle w:val="Heading2"/>
      </w:pPr>
      <w:r>
        <w:rPr>
          <w:color w:val="171717"/>
        </w:rPr>
        <w:t>Dự án 2: Panasonic Vietnam</w:t>
      </w:r>
    </w:p>
    <w:p>
      <w:pPr>
        <w:spacing w:after="60"/>
      </w:pPr>
      <w:r>
        <w:rPr>
          <w:b/>
        </w:rPr>
        <w:t xml:space="preserve">Ngành · loại hình: </w:t>
      </w:r>
      <w:r>
        <w:t>Điện máy · Chiến dịch tích hợp</w:t>
      </w:r>
    </w:p>
    <w:p>
      <w:pPr>
        <w:spacing w:after="60"/>
      </w:pPr>
      <w:r>
        <w:rPr>
          <w:b/>
        </w:rPr>
        <w:t xml:space="preserve">Thời gian: </w:t>
      </w:r>
      <w:r>
        <w:t>2023 — 2026</w:t>
      </w:r>
    </w:p>
    <w:p>
      <w:pPr>
        <w:spacing w:after="60"/>
      </w:pPr>
      <w:r>
        <w:rPr>
          <w:b/>
        </w:rPr>
        <w:t xml:space="preserve">Vấn đề: </w:t>
      </w:r>
      <w:r>
        <w:t>Panasonic Service Vietnam cần một chiến dịch kỷ niệm 20 năm ("20th years of Trusted Service") vừa thúc đẩy các gói bảo dưỡng và khuyến mãi bảo hành mở rộng, vừa xây dựng được cộng đồng khách hàng trung thành lâu dài.</w:t>
      </w:r>
    </w:p>
    <w:p>
      <w:pPr>
        <w:spacing w:after="60"/>
      </w:pPr>
      <w:r>
        <w:rPr>
          <w:b/>
        </w:rPr>
        <w:t xml:space="preserve">Cách triển khai: </w:t>
      </w:r>
      <w:r>
        <w:t>Xây dựng chiến lược Digital Marketing cho các chiến dịch bảo dưỡng thiết bị và khuyến mãi bảo hành; trực tiếp quản lý dự án kỷ niệm 20 năm — từ lên kế hoạch nội dung, xây dựng ý tưởng Landing Page, quản trị cộng đồng Facebook, đến vận hành quảng cáo Google/Facebook, quảng cáo e-commerce, PR báo chí và tổ chức hoạt động ngoài trời (chương trình trồng cây "Sống khỏe góp xanh").</w:t>
      </w:r>
    </w:p>
    <w:p>
      <w:pPr>
        <w:spacing w:after="60"/>
      </w:pPr>
      <w:r>
        <w:rPr>
          <w:b/>
        </w:rPr>
        <w:t xml:space="preserve">Kết quả: </w:t>
      </w:r>
      <w:r>
        <w:t>Một chiến dịch tích hợp đầy đủ kênh — từ landing page, cộng đồng Facebook, quảng cáo hiệu suất đến hoạt động ngoài trời — giúp Panasonic vừa giữ chân khách hàng cũ vừa lan tỏa hình ảnh thương hiệu gắn với trách nhiệm cộng đồng.</w:t>
      </w:r>
    </w:p>
    <w:p>
      <w:pPr>
        <w:spacing w:after="60"/>
      </w:pPr>
      <w:r>
        <w:rPr>
          <w:b/>
        </w:rPr>
        <w:t xml:space="preserve">Số liệu nổi bật: </w:t>
      </w:r>
      <w:r>
        <w:t>6+ kênh triển khai tích hợp</w:t>
      </w:r>
    </w:p>
    <w:p>
      <w:pPr>
        <w:pStyle w:val="Heading2"/>
      </w:pPr>
      <w:r>
        <w:rPr>
          <w:color w:val="171717"/>
        </w:rPr>
        <w:t>Dự án 3: Chăn Ga Gối Đệm Sông Hồng</w:t>
      </w:r>
    </w:p>
    <w:p>
      <w:pPr>
        <w:spacing w:after="60"/>
      </w:pPr>
      <w:r>
        <w:rPr>
          <w:b/>
        </w:rPr>
        <w:t xml:space="preserve">Ngành · loại hình: </w:t>
      </w:r>
      <w:r>
        <w:t>Bán lẻ · B2B2C Marketing</w:t>
      </w:r>
    </w:p>
    <w:p>
      <w:pPr>
        <w:spacing w:after="60"/>
      </w:pPr>
      <w:r>
        <w:rPr>
          <w:b/>
        </w:rPr>
        <w:t xml:space="preserve">Thời gian: </w:t>
      </w:r>
      <w:r>
        <w:t>2023</w:t>
      </w:r>
    </w:p>
    <w:p>
      <w:pPr>
        <w:spacing w:after="60"/>
      </w:pPr>
      <w:r>
        <w:rPr>
          <w:b/>
        </w:rPr>
        <w:t xml:space="preserve">Vấn đề: </w:t>
      </w:r>
      <w:r>
        <w:t>Song Hồng cần thúc đẩy đồng thời 4 bộ sưu tập (Basic, Urban, Adore, Back Essential) qua cả kênh đại lý (B2B) lẫn người tiêu dùng cuối (B2C), đòi hỏi thông điệp nhất quán nhưng linh hoạt cho từng nhóm đối tượng.</w:t>
      </w:r>
    </w:p>
    <w:p>
      <w:pPr>
        <w:spacing w:after="60"/>
      </w:pPr>
      <w:r>
        <w:rPr>
          <w:b/>
        </w:rPr>
        <w:t xml:space="preserve">Cách triển khai: </w:t>
      </w:r>
      <w:r>
        <w:t>Thực thi các chiến dịch quảng bá kỹ thuật số và chương trình tương tác đại lý B2B2C cho từng bộ sưu tập; thiết kế nội dung quảng cáo, định hướng bài đăng mạng xã hội, đồng thời lên kế hoạch cho hội nghị khách hàng (dealer conference).</w:t>
      </w:r>
    </w:p>
    <w:p>
      <w:pPr>
        <w:spacing w:after="60"/>
      </w:pPr>
      <w:r>
        <w:rPr>
          <w:b/>
        </w:rPr>
        <w:t xml:space="preserve">Kết quả: </w:t>
      </w:r>
      <w:r>
        <w:t>Vận hành song song 4 dòng sản phẩm trên cả hai tuyến B2B và B2C mà không xung đột thông điệp, củng cố quan hệ với mạng lưới đại lý qua hội nghị khách hàng.</w:t>
      </w:r>
    </w:p>
    <w:p>
      <w:pPr>
        <w:spacing w:after="60"/>
      </w:pPr>
      <w:r>
        <w:rPr>
          <w:b/>
        </w:rPr>
        <w:t xml:space="preserve">Số liệu nổi bật: </w:t>
      </w:r>
      <w:r>
        <w:t>4 bộ sưu tập song song</w:t>
      </w:r>
    </w:p>
    <w:p>
      <w:pPr>
        <w:pStyle w:val="Heading2"/>
      </w:pPr>
      <w:r>
        <w:rPr>
          <w:color w:val="171717"/>
        </w:rPr>
        <w:t>Dự án 4: VPBank SME</w:t>
      </w:r>
    </w:p>
    <w:p>
      <w:pPr>
        <w:spacing w:after="60"/>
      </w:pPr>
      <w:r>
        <w:rPr>
          <w:b/>
        </w:rPr>
        <w:t xml:space="preserve">Ngành · loại hình: </w:t>
      </w:r>
      <w:r>
        <w:t>Ngân hàng · Ra mắt sản phẩm</w:t>
      </w:r>
    </w:p>
    <w:p>
      <w:pPr>
        <w:spacing w:after="60"/>
      </w:pPr>
      <w:r>
        <w:rPr>
          <w:b/>
        </w:rPr>
        <w:t xml:space="preserve">Thời gian: </w:t>
      </w:r>
      <w:r>
        <w:t>2022 — 2023</w:t>
      </w:r>
    </w:p>
    <w:p>
      <w:pPr>
        <w:spacing w:after="60"/>
      </w:pPr>
      <w:r>
        <w:rPr>
          <w:b/>
        </w:rPr>
        <w:t xml:space="preserve">Vấn đề: </w:t>
      </w:r>
      <w:r>
        <w:t>VPBank cần xây dựng nhận diện cho hai tính năng thanh toán mới — Tap2Phone và QR Payment — tới đúng phân khúc khách hàng SME, qua cả kênh sự kiện lẫn mạng xã hội.</w:t>
      </w:r>
    </w:p>
    <w:p>
      <w:pPr>
        <w:spacing w:after="60"/>
      </w:pPr>
      <w:r>
        <w:rPr>
          <w:b/>
        </w:rPr>
        <w:t xml:space="preserve">Cách triển khai: </w:t>
      </w:r>
      <w:r>
        <w:t>Lên khung chiến dịch talkshow và phát triển nội dung mạng xã hội cho Tap2Phone và QR Payment; trực tiếp viết brief cho talkshow, caption video và xây dựng định vị sản phẩm.</w:t>
      </w:r>
    </w:p>
    <w:p>
      <w:pPr>
        <w:spacing w:after="60"/>
      </w:pPr>
      <w:r>
        <w:rPr>
          <w:b/>
        </w:rPr>
        <w:t xml:space="preserve">Kết quả: </w:t>
      </w:r>
      <w:r>
        <w:t>Đồng bộ thông điệp sản phẩm mới trên cả kênh sự kiện (talkshow) và mạng xã hội, giúp truyền tải rõ ràng giá trị của hai tính năng thanh toán tới đúng đối tượng SME.</w:t>
      </w:r>
    </w:p>
    <w:p>
      <w:pPr>
        <w:spacing w:after="60"/>
      </w:pPr>
      <w:r>
        <w:rPr>
          <w:b/>
        </w:rPr>
        <w:t xml:space="preserve">Số liệu nổi bật: </w:t>
      </w:r>
      <w:r>
        <w:t>2 tính năng ra mắt song song</w:t>
      </w:r>
    </w:p>
    <w:p>
      <w:pPr>
        <w:pStyle w:val="Heading2"/>
      </w:pPr>
      <w:r>
        <w:rPr>
          <w:color w:val="171717"/>
        </w:rPr>
        <w:t>Dự án 5: CSR — Song Hồng Garment</w:t>
      </w:r>
    </w:p>
    <w:p>
      <w:pPr>
        <w:spacing w:after="60"/>
      </w:pPr>
      <w:r>
        <w:rPr>
          <w:b/>
        </w:rPr>
        <w:t xml:space="preserve">Ngành · loại hình: </w:t>
      </w:r>
      <w:r>
        <w:t>Trách nhiệm xã hội · Quản lý dự án</w:t>
      </w:r>
    </w:p>
    <w:p>
      <w:pPr>
        <w:spacing w:after="60"/>
      </w:pPr>
      <w:r>
        <w:rPr>
          <w:b/>
        </w:rPr>
        <w:t xml:space="preserve">Thời gian: </w:t>
      </w:r>
      <w:r>
        <w:t>12/2024 &amp; 01/2026</w:t>
      </w:r>
    </w:p>
    <w:p>
      <w:pPr>
        <w:spacing w:after="60"/>
      </w:pPr>
      <w:r>
        <w:rPr>
          <w:b/>
        </w:rPr>
        <w:t xml:space="preserve">Vấn đề: </w:t>
      </w:r>
      <w:r>
        <w:t>Cần triển khai chương trình thiện nguyện tại các tỉnh miền núi phía Bắc (Lào Cai &amp; Hà Giang), đòi hỏi phối hợp với chính quyền địa phương và tổ chức tình nguyện để đảm bảo đúng đối tượng và đúng nhu cầu thực tế.</w:t>
      </w:r>
    </w:p>
    <w:p>
      <w:pPr>
        <w:spacing w:after="60"/>
      </w:pPr>
      <w:r>
        <w:rPr>
          <w:b/>
        </w:rPr>
        <w:t xml:space="preserve">Cách triển khai: </w:t>
      </w:r>
      <w:r>
        <w:t>Đảm nhiệm vai trò Project Manager &amp; Coordinator: liên hệ chính quyền địa phương và tổ chức tình nguyện để khảo sát, đánh giá và chọn địa điểm phù hợp nhất cho chương trình; trực tiếp dẫn dắt đội 15 tình nguyện viên và quản lý ngân sách 500 triệu đồng.</w:t>
      </w:r>
    </w:p>
    <w:p>
      <w:pPr>
        <w:spacing w:after="60"/>
      </w:pPr>
      <w:r>
        <w:rPr>
          <w:b/>
        </w:rPr>
        <w:t xml:space="preserve">Kết quả: </w:t>
      </w:r>
      <w:r>
        <w:t>Triển khai thành công các hoạt động cứu trợ và CSR trên hai tỉnh, hỗ trợ trực tiếp 250 người thụ hưởng/hộ gia đình, thể hiện năng lực lãnh đạo và điều phối ngoài phạm vi công việc agency thường ngày.</w:t>
      </w:r>
    </w:p>
    <w:p>
      <w:pPr>
        <w:spacing w:after="60"/>
      </w:pPr>
      <w:r>
        <w:rPr>
          <w:b/>
        </w:rPr>
        <w:t xml:space="preserve">Số liệu nổi bật: </w:t>
      </w:r>
      <w:r>
        <w:t>250 người thụ hưởng, 15 tình nguyện viên</w:t>
      </w:r>
    </w:p>
    <w:p>
      <w:pPr>
        <w:spacing w:before="80" w:after="280"/>
        <w:pBdr>
          <w:bottom w:val="single" w:sz="6" w:space="1" w:color="DDDDDD"/>
        </w:pBdr>
      </w:pPr>
    </w:p>
    <w:p>
      <w:pPr>
        <w:pStyle w:val="Heading1"/>
      </w:pPr>
      <w:r>
        <w:rPr>
          <w:color w:val="C21E1E"/>
        </w:rPr>
        <w:t>7. Năng lực cốt lõi (Competencies)</w:t>
      </w:r>
    </w:p>
    <w:p>
      <w:pPr>
        <w:spacing w:after="120"/>
      </w:pPr>
      <w:r>
        <w:rPr>
          <w:b/>
        </w:rPr>
        <w:t xml:space="preserve">Vị trí: </w:t>
      </w:r>
      <w:r>
        <w:rPr>
          <w:i/>
          <w:color w:val="6E6E6E"/>
        </w:rPr>
        <w:t>Section thứ 5 — id="competencies", danh sách 5 dòng đánh số 01-05</w:t>
      </w:r>
    </w:p>
    <w:p>
      <w:pPr>
        <w:spacing w:after="60"/>
      </w:pPr>
      <w:r>
        <w:rPr>
          <w:b/>
        </w:rPr>
        <w:t xml:space="preserve">Tiêu đề section: </w:t>
      </w:r>
      <w:r>
        <w:t>Năng lực cốt lõi</w:t>
      </w:r>
    </w:p>
    <w:p>
      <w:pPr>
        <w:pStyle w:val="ListBullet"/>
        <w:spacing w:after="40"/>
      </w:pPr>
      <w:r>
        <w:t>01 — Hoạch định &amp; Lập phạm vi Chiến lược: Xây dựng lộ trình chiến dịch · Quản lý ngân sách &amp; nguồn lực</w:t>
      </w:r>
    </w:p>
    <w:p>
      <w:pPr>
        <w:pStyle w:val="ListBullet"/>
        <w:spacing w:after="40"/>
      </w:pPr>
      <w:r>
        <w:t>02 — Điều phối &amp; Quản trị Các bên liên quan: Đồng bộ đa phòng ban · Tối ưu vai trò đội nhóm · Quản lý kỳ vọng</w:t>
      </w:r>
    </w:p>
    <w:p>
      <w:pPr>
        <w:pStyle w:val="ListBullet"/>
        <w:spacing w:after="40"/>
      </w:pPr>
      <w:r>
        <w:t>03 — Giám sát &amp; Tối ưu Hiệu suất: Theo dõi &amp; kiểm soát KPI · Xử lý khủng hoảng</w:t>
      </w:r>
    </w:p>
    <w:p>
      <w:pPr>
        <w:pStyle w:val="ListBullet"/>
        <w:spacing w:after="40"/>
      </w:pPr>
      <w:r>
        <w:t>04 — Quản trị Rủi ro Tổng thể: Đảm bảo chất lượng &amp; tiến độ</w:t>
      </w:r>
    </w:p>
    <w:p>
      <w:pPr>
        <w:pStyle w:val="ListBullet"/>
        <w:spacing w:after="40"/>
      </w:pPr>
      <w:r>
        <w:t>05 — Báo cáo &amp; Đánh giá Giá trị: Báo cáo dựa trên dữ liệu · Phân tích tác động tài chính</w:t>
      </w:r>
    </w:p>
    <w:p>
      <w:pPr>
        <w:spacing w:before="80" w:after="280"/>
        <w:pBdr>
          <w:bottom w:val="single" w:sz="6" w:space="1" w:color="DDDDDD"/>
        </w:pBdr>
      </w:pPr>
    </w:p>
    <w:p>
      <w:pPr>
        <w:pStyle w:val="Heading1"/>
      </w:pPr>
      <w:r>
        <w:rPr>
          <w:color w:val="C21E1E"/>
        </w:rPr>
        <w:t>8. Kỹ năng &amp; Công cụ (Skills)</w:t>
      </w:r>
    </w:p>
    <w:p>
      <w:pPr>
        <w:spacing w:after="120"/>
      </w:pPr>
      <w:r>
        <w:rPr>
          <w:b/>
        </w:rPr>
        <w:t xml:space="preserve">Vị trí: </w:t>
      </w:r>
      <w:r>
        <w:rPr>
          <w:i/>
          <w:color w:val="6E6E6E"/>
        </w:rPr>
        <w:t>Section thứ 6 — id="skills", 4 cột kỹ năng dạng tag + 1 hàng ngôn ngữ bên dưới</w:t>
      </w:r>
    </w:p>
    <w:p>
      <w:pPr>
        <w:spacing w:after="60"/>
      </w:pPr>
      <w:r>
        <w:rPr>
          <w:b/>
        </w:rPr>
        <w:t xml:space="preserve">Tiêu đề section: </w:t>
      </w:r>
      <w:r>
        <w:t>Kỹ năng &amp; Công cụ</w:t>
      </w:r>
    </w:p>
    <w:p>
      <w:pPr>
        <w:pStyle w:val="ListBullet"/>
        <w:spacing w:after="40"/>
      </w:pPr>
      <w:r>
        <w:t>Chuyên môn: Project Management, Account Management, Digital Marketing Planning, B2B2C Marketing, KOC/KOL Briefing, Data Analysis, Visual Storytelling</w:t>
      </w:r>
    </w:p>
    <w:p>
      <w:pPr>
        <w:pStyle w:val="ListBullet"/>
        <w:spacing w:after="40"/>
      </w:pPr>
      <w:r>
        <w:t>Công cụ &amp; Tự động hóa: Google Sheets, Microsoft Excel, n8n, Make.com, Canva, Frame.io, NotebookLM, Vercel, Cursor</w:t>
      </w:r>
    </w:p>
    <w:p>
      <w:pPr>
        <w:pStyle w:val="ListBullet"/>
        <w:spacing w:after="40"/>
      </w:pPr>
      <w:r>
        <w:t>Kỹ thuật &amp; Thiết kế: SQL, Photoshop, Illustrator, Google Analytics, Google Search Ads, Google AI</w:t>
      </w:r>
    </w:p>
    <w:p>
      <w:pPr>
        <w:pStyle w:val="ListBullet"/>
        <w:spacing w:after="40"/>
      </w:pPr>
      <w:r>
        <w:t>Kỹ năng mềm: Giao tiếp linh hoạt, rõ ràng với nội bộ &amp; khách hàng, Tư duy logic &amp; tổ chức thông tin chuyên nghiệp</w:t>
      </w:r>
    </w:p>
    <w:p>
      <w:pPr>
        <w:spacing w:after="60"/>
      </w:pPr>
      <w:r>
        <w:rPr>
          <w:b/>
        </w:rPr>
        <w:t xml:space="preserve">Ngôn ngữ: </w:t>
      </w:r>
      <w:r>
        <w:t>Tiếng Việt (Bản ngữ) · Tiếng Anh (Thành thạo chuyên môn)</w:t>
      </w:r>
    </w:p>
    <w:p>
      <w:pPr>
        <w:spacing w:before="80" w:after="280"/>
        <w:pBdr>
          <w:bottom w:val="single" w:sz="6" w:space="1" w:color="DDDDDD"/>
        </w:pBdr>
      </w:pPr>
    </w:p>
    <w:p>
      <w:pPr>
        <w:pStyle w:val="Heading1"/>
      </w:pPr>
      <w:r>
        <w:rPr>
          <w:color w:val="C21E1E"/>
        </w:rPr>
        <w:t>9. Học vấn &amp; Chứng chỉ (Education)</w:t>
      </w:r>
    </w:p>
    <w:p>
      <w:pPr>
        <w:spacing w:after="120"/>
      </w:pPr>
      <w:r>
        <w:rPr>
          <w:b/>
        </w:rPr>
        <w:t xml:space="preserve">Vị trí: </w:t>
      </w:r>
      <w:r>
        <w:rPr>
          <w:i/>
          <w:color w:val="6E6E6E"/>
        </w:rPr>
        <w:t>Section thứ 7 — id="education"</w:t>
      </w:r>
    </w:p>
    <w:p>
      <w:pPr>
        <w:spacing w:after="60"/>
      </w:pPr>
      <w:r>
        <w:rPr>
          <w:b/>
        </w:rPr>
        <w:t xml:space="preserve">Tiêu đề section: </w:t>
      </w:r>
      <w:r>
        <w:t>Học vấn &amp; Chứng chỉ</w:t>
      </w:r>
    </w:p>
    <w:p>
      <w:pPr>
        <w:spacing w:after="60"/>
      </w:pPr>
      <w:r>
        <w:rPr>
          <w:b/>
        </w:rPr>
        <w:t xml:space="preserve">Trường: </w:t>
      </w:r>
      <w:r>
        <w:t>Đại học Kinh tế Quốc dân (NEU) — hợp tác cùng Coventry University</w:t>
      </w:r>
    </w:p>
    <w:p>
      <w:pPr>
        <w:spacing w:after="60"/>
      </w:pPr>
      <w:r>
        <w:rPr>
          <w:b/>
        </w:rPr>
        <w:t xml:space="preserve">Chương trình: </w:t>
      </w:r>
      <w:r>
        <w:t>Cử nhân Quốc tế IBD@ISME, ngành Marketing Kinh doanh</w:t>
      </w:r>
    </w:p>
    <w:p>
      <w:pPr>
        <w:spacing w:after="60"/>
      </w:pPr>
      <w:r>
        <w:rPr>
          <w:b/>
        </w:rPr>
        <w:t xml:space="preserve">Thời gian: </w:t>
      </w:r>
      <w:r>
        <w:t>09/2018 — 09/2022</w:t>
      </w:r>
    </w:p>
    <w:p>
      <w:pPr>
        <w:spacing w:after="60"/>
      </w:pPr>
      <w:r>
        <w:rPr>
          <w:b/>
        </w:rPr>
        <w:t xml:space="preserve">Xếp loại: </w:t>
      </w:r>
      <w:r>
        <w:t>Bằng danh dự hạng Nhì (2:1) do Coventry University cấp</w:t>
      </w:r>
    </w:p>
    <w:p>
      <w:pPr>
        <w:spacing w:after="60"/>
      </w:pPr>
      <w:r>
        <w:rPr>
          <w:b/>
        </w:rPr>
        <w:t xml:space="preserve">6 chứng chỉ (dạng tag, cuối section): </w:t>
      </w:r>
      <w:r>
        <w:t>TEG Certificate Level 4 (TEG); Chứng chỉ Google Search Ads (Google); Chứng chỉ Google AI (Google); Khóa Facebook Marketing (Vinalink); Khóa Google Marketing (Vinalink); Chứng chỉ MOS Word &amp; PowerPoint (Microsoft)</w:t>
      </w:r>
    </w:p>
    <w:p>
      <w:pPr>
        <w:spacing w:before="80" w:after="280"/>
        <w:pBdr>
          <w:bottom w:val="single" w:sz="6" w:space="1" w:color="DDDDDD"/>
        </w:pBdr>
      </w:pPr>
    </w:p>
    <w:p>
      <w:pPr>
        <w:pStyle w:val="Heading1"/>
      </w:pPr>
      <w:r>
        <w:rPr>
          <w:color w:val="C21E1E"/>
        </w:rPr>
        <w:t>10. Liên hệ (Contact)</w:t>
      </w:r>
    </w:p>
    <w:p>
      <w:pPr>
        <w:spacing w:after="120"/>
      </w:pPr>
      <w:r>
        <w:rPr>
          <w:b/>
        </w:rPr>
        <w:t xml:space="preserve">Vị trí: </w:t>
      </w:r>
      <w:r>
        <w:rPr>
          <w:i/>
          <w:color w:val="6E6E6E"/>
        </w:rPr>
        <w:t>Section cuối cùng — id="contact", nền có hiệu ứng gradient đỏ mờ</w:t>
      </w:r>
    </w:p>
    <w:p>
      <w:pPr>
        <w:spacing w:after="60"/>
      </w:pPr>
      <w:r>
        <w:rPr>
          <w:b/>
        </w:rPr>
        <w:t xml:space="preserve">Tiêu đề section: </w:t>
      </w:r>
      <w:r>
        <w:t>Cùng trao đổi cơ hội hợp tác</w:t>
      </w:r>
    </w:p>
    <w:p>
      <w:pPr>
        <w:spacing w:after="60"/>
      </w:pPr>
      <w:r>
        <w:rPr>
          <w:b/>
        </w:rPr>
        <w:t xml:space="preserve">Mô tả ngắn: </w:t>
      </w:r>
      <w:r>
        <w:t>Đang tìm kiếm một vị trí Marketing/Brand Manager phía nhãn hàng? Tôi luôn sẵn sàng cho một cuộc trò chuyện.</w:t>
      </w:r>
    </w:p>
    <w:p>
      <w:pPr>
        <w:pStyle w:val="ListBullet"/>
        <w:spacing w:after="40"/>
      </w:pPr>
      <w:r>
        <w:t>Email: anhnq8.ent@gmail.com</w:t>
      </w:r>
    </w:p>
    <w:p>
      <w:pPr>
        <w:pStyle w:val="ListBullet"/>
        <w:spacing w:after="40"/>
      </w:pPr>
      <w:r>
        <w:t>LinkedIn: linkedin.com/in/quy-anh-612</w:t>
      </w:r>
    </w:p>
    <w:p>
      <w:pPr>
        <w:pStyle w:val="ListBullet"/>
        <w:spacing w:after="40"/>
      </w:pPr>
      <w:r>
        <w:t>Phone: 0983 991 216</w:t>
      </w:r>
    </w:p>
    <w:p>
      <w:pPr>
        <w:spacing w:before="80" w:after="280"/>
        <w:pBdr>
          <w:bottom w:val="single" w:sz="6" w:space="1" w:color="DDDDDD"/>
        </w:pBdr>
      </w:pPr>
    </w:p>
    <w:p>
      <w:pPr>
        <w:pStyle w:val="Heading1"/>
      </w:pPr>
      <w:r>
        <w:rPr>
          <w:color w:val="C21E1E"/>
        </w:rPr>
        <w:t>11. Chân trang (Footer)</w:t>
      </w:r>
    </w:p>
    <w:p>
      <w:pPr>
        <w:spacing w:after="120"/>
      </w:pPr>
      <w:r>
        <w:rPr>
          <w:b/>
        </w:rPr>
        <w:t xml:space="preserve">Vị trí: </w:t>
      </w:r>
      <w:r>
        <w:rPr>
          <w:i/>
          <w:color w:val="6E6E6E"/>
        </w:rPr>
        <w:t>Cuối cùng của trang, ngoài các section chính</w:t>
      </w:r>
    </w:p>
    <w:p>
      <w:pPr>
        <w:spacing w:after="60"/>
      </w:pPr>
      <w:r>
        <w:rPr>
          <w:b/>
        </w:rPr>
        <w:t xml:space="preserve">Chữ ký viết tay màu đỏ: </w:t>
      </w:r>
      <w:r>
        <w:t>Mason Nguyen</w:t>
      </w:r>
    </w:p>
    <w:p>
      <w:pPr>
        <w:spacing w:after="60"/>
      </w:pPr>
      <w:r>
        <w:rPr>
          <w:b/>
        </w:rPr>
        <w:t xml:space="preserve">Dòng ghi chú + copyright: </w:t>
      </w:r>
      <w:r>
        <w:t>Được thiết kế và phát triển thủ công tại Hà Nội.  ·  © 2026 Mason Nguyen  ·  Đã giữ mọi quyền.</w:t>
      </w:r>
    </w:p>
    <w:p>
      <w:pPr>
        <w:spacing w:after="60"/>
      </w:pPr>
      <w:r>
        <w:rPr>
          <w:b/>
        </w:rPr>
        <w:t xml:space="preserve">Nút góc phải: </w:t>
      </w:r>
      <w:r>
        <w:t>Lên đầu trang</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