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xử lý sự cố số 07</w:t>
      </w:r>
    </w:p>
    <w:p>
      <w:pPr>
        <w:pStyle w:val="Heading2"/>
      </w:pPr>
      <w:r>
        <w:t>Thông tin đã phê duyệt</w:t>
      </w:r>
    </w:p>
    <w:p>
      <w:r>
        <w:t>Mã hồ sơ là HS-2026-007.</w:t>
      </w:r>
    </w:p>
    <w:p>
      <w:r>
        <w:t>Ngân sách được phê duyệt là 239 triệu đồng.</w:t>
      </w:r>
    </w:p>
    <w:p>
      <w:r>
        <w:t>Hạn hoàn tất là ngày 11 tháng 08 năm 2026.</w:t>
      </w:r>
    </w:p>
    <w:p>
      <w:r>
        <w:t>Đơn vị phụ trách là Ban An toàn thông tin (BATTT).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xử lý sự cố số 07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