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Thiết kế phân bổ kinh phí — phiên bản 1</w:t>
      </w:r>
    </w:p>
    <w:p>
      <w:pPr>
        <w:pStyle w:val="Heading2"/>
      </w:pPr>
      <w:r>
        <w:t>Thông tin đã phê duyệt</w:t>
      </w:r>
    </w:p>
    <w:p>
      <w:r>
        <w:t>Mã tài liệu thiết kế là TK-KP-2026.</w:t>
      </w:r>
    </w:p>
    <w:p>
      <w:r>
        <w:t>Thiết kế phân bổ kinh phí 15 triệu đồng.</w:t>
      </w:r>
    </w:p>
    <w:p>
      <w:r>
        <w:t>Phiên bản thiết kế 1 có hiệu lực từ ngày 01 tháng 01 năm 2026.</w:t>
      </w:r>
    </w:p>
    <w:p>
      <w:r>
        <w:t>Tài liệu thiết kế triển khai yêu cầu kinh phí của BA.</w:t>
      </w:r>
    </w:p>
    <w:p>
      <w:r>
        <w:t>Thiết kế phiên bản 1 cao hơn yêu cầu BA phiên bản 1 là 5 triệu đồng.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Thiết kế phân bổ kinh phí — phiên bản 1</dc:title>
  <dc:subject/>
  <dc:creator>Markhand synthetic corpus</dc:creator>
  <cp:keywords/>
  <dc:description>generated by python-docx</dc:description>
  <cp:lastModifiedBy/>
  <cp:revision>1</cp:revision>
  <dcterms:created xsi:type="dcterms:W3CDTF">2026-06-30T00:00:00Z</dcterms:created>
  <dcterms:modified xsi:type="dcterms:W3CDTF">2026-06-30T00:00:00Z</dcterms:modified>
  <cp:category/>
</cp:coreProperties>
</file>