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6F199" w14:textId="2EEDA9F6" w:rsidR="00F47DA2" w:rsidRPr="0023614E" w:rsidRDefault="00F47DA2" w:rsidP="00643B20">
      <w:pPr>
        <w:jc w:val="both"/>
        <w:rPr>
          <w:b/>
          <w:bCs/>
        </w:rPr>
      </w:pPr>
      <w:r w:rsidRPr="0023614E">
        <w:rPr>
          <w:b/>
          <w:bCs/>
        </w:rPr>
        <w:t xml:space="preserve">Introducing the </w:t>
      </w:r>
      <w:r w:rsidR="00AC49E9" w:rsidRPr="0023614E">
        <w:rPr>
          <w:b/>
          <w:bCs/>
        </w:rPr>
        <w:t>I′-chart</w:t>
      </w:r>
      <w:r w:rsidR="002C6240" w:rsidRPr="0023614E">
        <w:rPr>
          <w:b/>
          <w:bCs/>
        </w:rPr>
        <w:t xml:space="preserve">: </w:t>
      </w:r>
      <w:r w:rsidRPr="0023614E">
        <w:rPr>
          <w:b/>
          <w:bCs/>
        </w:rPr>
        <w:t xml:space="preserve">an improved </w:t>
      </w:r>
      <w:r w:rsidR="002C6240" w:rsidRPr="0023614E">
        <w:rPr>
          <w:b/>
          <w:bCs/>
        </w:rPr>
        <w:t>I</w:t>
      </w:r>
      <w:r w:rsidRPr="0023614E">
        <w:rPr>
          <w:b/>
          <w:bCs/>
        </w:rPr>
        <w:t>-chart</w:t>
      </w:r>
    </w:p>
    <w:p w14:paraId="683AAF23" w14:textId="51175E8F" w:rsidR="00237DBA" w:rsidRPr="00237DBA" w:rsidRDefault="00237DBA" w:rsidP="00237DBA">
      <w:pPr>
        <w:jc w:val="both"/>
        <w:rPr>
          <w:b/>
          <w:bCs/>
        </w:rPr>
      </w:pPr>
      <w:r w:rsidRPr="00237DBA">
        <w:rPr>
          <w:b/>
          <w:bCs/>
        </w:rPr>
        <w:t>Introduction</w:t>
      </w:r>
    </w:p>
    <w:p w14:paraId="437A8076" w14:textId="77777777" w:rsidR="00C20901" w:rsidRDefault="00A24516" w:rsidP="00A24516">
      <w:pPr>
        <w:jc w:val="both"/>
      </w:pPr>
      <w:r w:rsidRPr="00A24516">
        <w:t xml:space="preserve">Statistical Process Control (SPC) is widely used in healthcare to monitor and improve the quality and safety of care delivery processes [ref]. At its core, SPC methodology distinguishes between two types of variation: common cause variation, which reflects inherent fluctuations within a stable </w:t>
      </w:r>
      <w:r w:rsidRPr="00C9299F">
        <w:t>process</w:t>
      </w:r>
      <w:r w:rsidRPr="00A24516">
        <w:t xml:space="preserve"> and special cause variation, which signals a </w:t>
      </w:r>
      <w:r w:rsidR="00C20901">
        <w:t xml:space="preserve">change </w:t>
      </w:r>
      <w:r w:rsidRPr="00A24516">
        <w:t xml:space="preserve">in the underlying process due to an assignable cause. </w:t>
      </w:r>
      <w:r w:rsidR="00C20901" w:rsidRPr="00C20901">
        <w:t>SPC</w:t>
      </w:r>
      <w:r w:rsidR="00C20901">
        <w:t xml:space="preserve"> charts help users </w:t>
      </w:r>
      <w:r w:rsidR="00C20901" w:rsidRPr="00C20901">
        <w:t>visuali</w:t>
      </w:r>
      <w:r w:rsidR="00C20901">
        <w:t>s</w:t>
      </w:r>
      <w:r w:rsidR="00C20901" w:rsidRPr="00C20901">
        <w:t xml:space="preserve">e </w:t>
      </w:r>
      <w:r w:rsidR="00C20901">
        <w:t xml:space="preserve">the behaviour of </w:t>
      </w:r>
      <w:r w:rsidR="00C20901" w:rsidRPr="00C20901">
        <w:t xml:space="preserve">data </w:t>
      </w:r>
      <w:r w:rsidR="00C20901">
        <w:t xml:space="preserve">from a process </w:t>
      </w:r>
      <w:r w:rsidR="00C20901" w:rsidRPr="00C20901">
        <w:t>and identify signals of special cause variation using statistically defined control limits.</w:t>
      </w:r>
      <w:r w:rsidR="00C20901">
        <w:t xml:space="preserve"> </w:t>
      </w:r>
    </w:p>
    <w:p w14:paraId="7CF7B772" w14:textId="4D802043" w:rsidR="00C20901" w:rsidRDefault="00C20901" w:rsidP="00C20901">
      <w:pPr>
        <w:jc w:val="both"/>
      </w:pPr>
      <w:r>
        <w:t xml:space="preserve">There are scores of SPC charts and choosing the appropriate chart can be less than straightforward,  especially in </w:t>
      </w:r>
      <w:r>
        <w:t xml:space="preserve">healthcare, where data structures are often complex and varied. Measurement data, counts, proportions, and rates with changing denominators are all common—each requiring a different type of control chart. Compounding this challenge is the fact that </w:t>
      </w:r>
      <w:r>
        <w:t xml:space="preserve">some </w:t>
      </w:r>
      <w:r>
        <w:t>practitioners lack formal statistical training, and software defaults often promote the use of a single chart type, typically the Individuals (</w:t>
      </w:r>
      <w:r>
        <w:t>I-)</w:t>
      </w:r>
      <w:r>
        <w:t>chart, regardless of whether it is the most appropriate. These issues can lead to the misapplication of SPC charts, generating misleading signals and undermining improvement efforts.</w:t>
      </w:r>
    </w:p>
    <w:p w14:paraId="39F92418" w14:textId="1521BF07" w:rsidR="00C20901" w:rsidRPr="00A24516" w:rsidRDefault="00C20901" w:rsidP="00C20901">
      <w:pPr>
        <w:jc w:val="both"/>
      </w:pPr>
      <w:r>
        <w:t>Moreover, a</w:t>
      </w:r>
      <w:r w:rsidRPr="00A24516">
        <w:t xml:space="preserve">mong SPC </w:t>
      </w:r>
      <w:r w:rsidRPr="00C9299F">
        <w:t>charts</w:t>
      </w:r>
      <w:r w:rsidRPr="00A24516">
        <w:t>, the Individuals (I)</w:t>
      </w:r>
      <w:r w:rsidRPr="00C9299F">
        <w:t>-</w:t>
      </w:r>
      <w:r w:rsidRPr="00A24516">
        <w:t xml:space="preserve">chart is especially popular for its simplicity and flexibility. It is well suited to settings where data are collected as single observations over time—for example, daily blood pressure readings, weekly </w:t>
      </w:r>
      <w:r w:rsidRPr="00C9299F">
        <w:t>number of x-rays</w:t>
      </w:r>
      <w:r w:rsidRPr="00A24516">
        <w:t xml:space="preserve">, or individual lab test turnaround times. Unlike </w:t>
      </w:r>
      <w:r w:rsidRPr="00C9299F">
        <w:t xml:space="preserve">other SPC </w:t>
      </w:r>
      <w:r w:rsidRPr="00A24516">
        <w:t>charts</w:t>
      </w:r>
      <w:r w:rsidRPr="00C9299F">
        <w:t>,</w:t>
      </w:r>
      <w:r w:rsidRPr="00A24516">
        <w:t xml:space="preserve"> the I</w:t>
      </w:r>
      <w:r w:rsidRPr="00C9299F">
        <w:t>-</w:t>
      </w:r>
      <w:r w:rsidRPr="00A24516">
        <w:t xml:space="preserve">chart estimates process variation directly from the moving range between successive </w:t>
      </w:r>
      <w:r w:rsidRPr="00C9299F">
        <w:t xml:space="preserve">data points </w:t>
      </w:r>
      <w:r w:rsidRPr="00A24516">
        <w:t>[ref]</w:t>
      </w:r>
      <w:r>
        <w:t xml:space="preserve"> because the data are individual data points with no subgroups (subgroup size=1). </w:t>
      </w:r>
      <w:proofErr w:type="gramStart"/>
      <w:r>
        <w:t>So</w:t>
      </w:r>
      <w:proofErr w:type="gramEnd"/>
      <w:r>
        <w:t xml:space="preserve"> the </w:t>
      </w:r>
      <w:r w:rsidRPr="00A24516">
        <w:t>I</w:t>
      </w:r>
      <w:r w:rsidRPr="00C9299F">
        <w:t>-</w:t>
      </w:r>
      <w:r w:rsidRPr="00A24516">
        <w:t>chart operates under a key assumption: that each data point reflects the same underlying area of opportunity—</w:t>
      </w:r>
      <w:r w:rsidRPr="00C9299F">
        <w:t>for example</w:t>
      </w:r>
      <w:r w:rsidRPr="00A24516">
        <w:t xml:space="preserve">, comparable patient volumes, observation periods, or sample sizes. In many healthcare contexts, this assumption does not hold. For </w:t>
      </w:r>
      <w:r w:rsidRPr="00C9299F">
        <w:t>instance</w:t>
      </w:r>
      <w:r w:rsidRPr="00A24516">
        <w:t xml:space="preserve">, the percentage of patients with post-surgical complications depends </w:t>
      </w:r>
      <w:r w:rsidRPr="00C9299F">
        <w:t xml:space="preserve">on the </w:t>
      </w:r>
      <w:r w:rsidRPr="00A24516">
        <w:t>number of patients who underwent surgery</w:t>
      </w:r>
      <w:r w:rsidRPr="00C9299F">
        <w:t xml:space="preserve"> (the denominator), which varies over time. </w:t>
      </w:r>
      <w:r w:rsidRPr="00A24516">
        <w:t xml:space="preserve">When such variation in denominators or subgroup sizes exists, the use of the </w:t>
      </w:r>
      <w:r w:rsidRPr="00C9299F">
        <w:t>I-chart</w:t>
      </w:r>
      <w:r w:rsidRPr="00A24516">
        <w:t xml:space="preserve"> becomes problematic</w:t>
      </w:r>
      <w:r w:rsidRPr="00C9299F">
        <w:t xml:space="preserve">, because the I-chart assumes a constant denominator or area of opportunity. This assumption can lead to misleading control </w:t>
      </w:r>
      <w:r w:rsidRPr="00C9299F">
        <w:t>limits,</w:t>
      </w:r>
      <w:r>
        <w:t xml:space="preserve"> and this is why the use of the I-chart for such data remains controversial</w:t>
      </w:r>
      <w:r w:rsidRPr="00C9299F">
        <w:t>.</w:t>
      </w:r>
    </w:p>
    <w:p w14:paraId="0B4D337A" w14:textId="0881B256" w:rsidR="00A24516" w:rsidRPr="00A24516" w:rsidRDefault="00A24516" w:rsidP="00A24516">
      <w:pPr>
        <w:jc w:val="both"/>
      </w:pPr>
      <w:r w:rsidRPr="00A24516">
        <w:t>To address this limitation, we introduce the I-prime</w:t>
      </w:r>
      <w:r w:rsidRPr="00C9299F">
        <w:t xml:space="preserve"> (</w:t>
      </w:r>
      <w:r w:rsidR="00AC49E9" w:rsidRPr="00C9299F">
        <w:t>I′-chart</w:t>
      </w:r>
      <w:r w:rsidRPr="00C9299F">
        <w:t>)</w:t>
      </w:r>
      <w:r w:rsidRPr="00A24516">
        <w:t>, a modified version of the I</w:t>
      </w:r>
      <w:r w:rsidRPr="00C9299F">
        <w:t>-</w:t>
      </w:r>
      <w:r w:rsidRPr="00A24516">
        <w:t xml:space="preserve">chart </w:t>
      </w:r>
      <w:r w:rsidR="00804C71" w:rsidRPr="00C9299F">
        <w:t xml:space="preserve">that was </w:t>
      </w:r>
      <w:r w:rsidR="00C20901">
        <w:t xml:space="preserve">recently </w:t>
      </w:r>
      <w:r w:rsidR="00804C71" w:rsidRPr="00C9299F">
        <w:t xml:space="preserve">developed by </w:t>
      </w:r>
      <w:r w:rsidR="00976D9B" w:rsidRPr="00C9299F">
        <w:t xml:space="preserve">Taylor [ref] </w:t>
      </w:r>
      <w:r w:rsidRPr="00A24516">
        <w:t xml:space="preserve">that </w:t>
      </w:r>
      <w:r w:rsidRPr="00C9299F">
        <w:t xml:space="preserve">accommodates </w:t>
      </w:r>
      <w:r w:rsidRPr="00A24516">
        <w:t xml:space="preserve"> varying denominators </w:t>
      </w:r>
      <w:r w:rsidRPr="00C9299F">
        <w:t xml:space="preserve">or </w:t>
      </w:r>
      <w:r w:rsidRPr="00A24516">
        <w:t xml:space="preserve">subgroup sizes. In this paper, we </w:t>
      </w:r>
      <w:r w:rsidR="00B74B80" w:rsidRPr="00C9299F">
        <w:t xml:space="preserve">introduce the </w:t>
      </w:r>
      <w:r w:rsidRPr="00A24516">
        <w:t>I′</w:t>
      </w:r>
      <w:r w:rsidRPr="00C9299F">
        <w:t>-</w:t>
      </w:r>
      <w:r w:rsidRPr="00A24516">
        <w:t xml:space="preserve">chart, outline its theoretical foundation and evaluate its performance </w:t>
      </w:r>
      <w:r w:rsidR="00C20901">
        <w:t>using a range of healthcare data sets</w:t>
      </w:r>
      <w:r w:rsidRPr="00A24516">
        <w:t>.</w:t>
      </w:r>
      <w:r w:rsidR="00B74B80" w:rsidRPr="00C9299F">
        <w:t xml:space="preserve"> </w:t>
      </w:r>
      <w:r w:rsidRPr="00A24516">
        <w:t xml:space="preserve">Our </w:t>
      </w:r>
      <w:r w:rsidR="00B74B80" w:rsidRPr="00C9299F">
        <w:t>paper</w:t>
      </w:r>
      <w:r w:rsidRPr="00A24516">
        <w:t xml:space="preserve"> is guided by the following </w:t>
      </w:r>
      <w:r w:rsidR="00B74B80" w:rsidRPr="00C9299F">
        <w:t xml:space="preserve">practical </w:t>
      </w:r>
      <w:r w:rsidRPr="00A24516">
        <w:t>questions:</w:t>
      </w:r>
    </w:p>
    <w:p w14:paraId="5AB07BDC" w14:textId="72A35133" w:rsidR="00B74B80" w:rsidRPr="00A24516" w:rsidRDefault="00B74B80" w:rsidP="00B74B80">
      <w:pPr>
        <w:numPr>
          <w:ilvl w:val="0"/>
          <w:numId w:val="3"/>
        </w:numPr>
        <w:jc w:val="both"/>
      </w:pPr>
      <w:r w:rsidRPr="00A24516">
        <w:t>How does the I′</w:t>
      </w:r>
      <w:r w:rsidRPr="00C9299F">
        <w:t>-</w:t>
      </w:r>
      <w:r w:rsidRPr="00A24516">
        <w:t>chart accommodate varying sample sizes or denominators</w:t>
      </w:r>
      <w:r w:rsidRPr="00C9299F">
        <w:t xml:space="preserve"> and how does it compare with the I-chart</w:t>
      </w:r>
      <w:r w:rsidRPr="00A24516">
        <w:t>?</w:t>
      </w:r>
    </w:p>
    <w:p w14:paraId="37F8A576" w14:textId="1DF11472" w:rsidR="00A24516" w:rsidRPr="00A24516" w:rsidRDefault="00B74B80" w:rsidP="00A24516">
      <w:pPr>
        <w:numPr>
          <w:ilvl w:val="0"/>
          <w:numId w:val="3"/>
        </w:numPr>
        <w:jc w:val="both"/>
      </w:pPr>
      <w:r w:rsidRPr="00C9299F">
        <w:t xml:space="preserve">How does the </w:t>
      </w:r>
      <w:r w:rsidR="00AC49E9" w:rsidRPr="00C9299F">
        <w:t xml:space="preserve">I′-chart </w:t>
      </w:r>
      <w:r w:rsidRPr="00C9299F">
        <w:t>compare with four widely used SPC charts (</w:t>
      </w:r>
      <w:proofErr w:type="spellStart"/>
      <w:r w:rsidRPr="00C9299F">
        <w:t>Xbar</w:t>
      </w:r>
      <w:proofErr w:type="spellEnd"/>
      <w:r w:rsidRPr="00C9299F">
        <w:t>, P, C, and U)? </w:t>
      </w:r>
    </w:p>
    <w:p w14:paraId="221BA311" w14:textId="6E2E9267" w:rsidR="00A24516" w:rsidRPr="00237DBA" w:rsidRDefault="00A24516" w:rsidP="00A24516">
      <w:pPr>
        <w:jc w:val="both"/>
        <w:rPr>
          <w:b/>
          <w:bCs/>
        </w:rPr>
      </w:pPr>
      <w:r w:rsidRPr="00237DBA">
        <w:rPr>
          <w:b/>
          <w:bCs/>
        </w:rPr>
        <w:t>Methods (to follow)</w:t>
      </w:r>
    </w:p>
    <w:p w14:paraId="7AD86DEC" w14:textId="42A27796" w:rsidR="00A24516" w:rsidRPr="00237DBA" w:rsidRDefault="00A24516" w:rsidP="00A24516">
      <w:pPr>
        <w:jc w:val="both"/>
        <w:rPr>
          <w:b/>
          <w:bCs/>
        </w:rPr>
      </w:pPr>
      <w:r w:rsidRPr="00237DBA">
        <w:rPr>
          <w:b/>
          <w:bCs/>
        </w:rPr>
        <w:t xml:space="preserve">Results – </w:t>
      </w:r>
    </w:p>
    <w:p w14:paraId="2A26AE46" w14:textId="77777777" w:rsidR="00AC49E9" w:rsidRPr="00C9299F" w:rsidRDefault="00AC49E9">
      <w:r w:rsidRPr="00C9299F">
        <w:br w:type="page"/>
      </w:r>
    </w:p>
    <w:p w14:paraId="3F228076" w14:textId="28F86C74" w:rsidR="00B74B80" w:rsidRPr="00237DBA" w:rsidRDefault="00B74B80" w:rsidP="00A24516">
      <w:pPr>
        <w:jc w:val="both"/>
        <w:rPr>
          <w:b/>
          <w:bCs/>
        </w:rPr>
      </w:pPr>
      <w:r w:rsidRPr="00237DBA">
        <w:rPr>
          <w:b/>
          <w:bCs/>
        </w:rPr>
        <w:lastRenderedPageBreak/>
        <w:t xml:space="preserve">Discussion </w:t>
      </w:r>
    </w:p>
    <w:p w14:paraId="75A855D0" w14:textId="01A2AD51" w:rsidR="00237DBA" w:rsidRPr="00AC49E9" w:rsidRDefault="00237DBA" w:rsidP="00237DBA">
      <w:pPr>
        <w:jc w:val="both"/>
      </w:pPr>
      <w:r>
        <w:t>We</w:t>
      </w:r>
      <w:r w:rsidR="00AC49E9" w:rsidRPr="00AC49E9">
        <w:t xml:space="preserve"> </w:t>
      </w:r>
      <w:r>
        <w:t xml:space="preserve">introduced and </w:t>
      </w:r>
      <w:r w:rsidR="00AC49E9" w:rsidRPr="00AC49E9">
        <w:t>evaluated the performance and applicability of the I′</w:t>
      </w:r>
      <w:r w:rsidR="00AC49E9" w:rsidRPr="00C9299F">
        <w:t>-</w:t>
      </w:r>
      <w:r w:rsidR="00AC49E9" w:rsidRPr="00AC49E9">
        <w:t xml:space="preserve">chart, a modified form of the traditional Individuals </w:t>
      </w:r>
      <w:r>
        <w:t>I-</w:t>
      </w:r>
      <w:r w:rsidR="00AC49E9" w:rsidRPr="00AC49E9">
        <w:t>chart</w:t>
      </w:r>
      <w:r>
        <w:t>,</w:t>
      </w:r>
      <w:r w:rsidR="00AC49E9" w:rsidRPr="00AC49E9">
        <w:t xml:space="preserve"> designed to account for variation in subgroup sizes. </w:t>
      </w:r>
      <w:r>
        <w:t>We have three key findings. (1) W</w:t>
      </w:r>
      <w:r w:rsidR="00AC49E9" w:rsidRPr="00AC49E9">
        <w:t xml:space="preserve">e found that the </w:t>
      </w:r>
      <w:r w:rsidR="00AC49E9" w:rsidRPr="00C9299F">
        <w:t xml:space="preserve">I′-chart </w:t>
      </w:r>
      <w:r w:rsidR="00AC49E9" w:rsidRPr="00AC49E9">
        <w:t xml:space="preserve">produces results that are an exact match to the original </w:t>
      </w:r>
      <w:r w:rsidR="00AC49E9" w:rsidRPr="00C9299F">
        <w:t>I-chart</w:t>
      </w:r>
      <w:r w:rsidR="00AC49E9" w:rsidRPr="00AC49E9">
        <w:t xml:space="preserve"> when applied to individual measurement data </w:t>
      </w:r>
      <w:r>
        <w:t xml:space="preserve">where there are no </w:t>
      </w:r>
      <w:r w:rsidR="00AC49E9" w:rsidRPr="00AC49E9">
        <w:t>denominators</w:t>
      </w:r>
      <w:r>
        <w:t xml:space="preserve"> (subgroup size=1)</w:t>
      </w:r>
      <w:r w:rsidR="00AC49E9" w:rsidRPr="00AC49E9">
        <w:t xml:space="preserve">. This validates the </w:t>
      </w:r>
      <w:r w:rsidR="00AC49E9" w:rsidRPr="00A24516">
        <w:t>I′</w:t>
      </w:r>
      <w:r w:rsidR="00AC49E9" w:rsidRPr="00C9299F">
        <w:t>-</w:t>
      </w:r>
      <w:r w:rsidR="00AC49E9" w:rsidRPr="00A24516">
        <w:t>chart</w:t>
      </w:r>
      <w:r w:rsidR="00AC49E9" w:rsidRPr="00AC49E9">
        <w:t xml:space="preserve"> as a generalization rather than a replacement, ensuring continuity for users familiar with the original method.</w:t>
      </w:r>
      <w:r w:rsidRPr="00237DBA">
        <w:t xml:space="preserve"> </w:t>
      </w:r>
      <w:r>
        <w:t>(2) We</w:t>
      </w:r>
      <w:r w:rsidRPr="00AC49E9">
        <w:t xml:space="preserve"> found that the </w:t>
      </w:r>
      <w:r>
        <w:t>I′-chart</w:t>
      </w:r>
      <w:r w:rsidRPr="00AC49E9">
        <w:t xml:space="preserve"> closely approximates the </w:t>
      </w:r>
      <w:r w:rsidRPr="00C9299F">
        <w:t>behaviour</w:t>
      </w:r>
      <w:r w:rsidRPr="00AC49E9">
        <w:t xml:space="preserve"> of </w:t>
      </w:r>
      <w:r>
        <w:t>Laney’s prime charts (</w:t>
      </w:r>
      <w:r w:rsidRPr="00AC49E9">
        <w:t>P′</w:t>
      </w:r>
      <w:r>
        <w:t>-chart</w:t>
      </w:r>
      <w:r w:rsidRPr="00AC49E9">
        <w:t xml:space="preserve"> and U′</w:t>
      </w:r>
      <w:r>
        <w:t>-</w:t>
      </w:r>
      <w:r w:rsidRPr="00AC49E9">
        <w:t>charts</w:t>
      </w:r>
      <w:r>
        <w:t>)</w:t>
      </w:r>
      <w:r w:rsidRPr="00AC49E9">
        <w:t>,</w:t>
      </w:r>
      <w:r>
        <w:t xml:space="preserve"> because they too consider within and between subgroup variation, and are </w:t>
      </w:r>
      <w:r w:rsidRPr="00AC49E9">
        <w:t xml:space="preserve">recommended for </w:t>
      </w:r>
      <w:r w:rsidRPr="00C9299F">
        <w:t>analysing</w:t>
      </w:r>
      <w:r w:rsidRPr="00AC49E9">
        <w:t xml:space="preserve"> proportions and rates</w:t>
      </w:r>
      <w:r>
        <w:t xml:space="preserve">, especially </w:t>
      </w:r>
      <w:r w:rsidRPr="00AC49E9">
        <w:t xml:space="preserve">when denominators </w:t>
      </w:r>
      <w:r>
        <w:t>are large</w:t>
      </w:r>
      <w:r w:rsidRPr="00AC49E9">
        <w:t xml:space="preserve">. </w:t>
      </w:r>
      <w:r>
        <w:t xml:space="preserve">(3) </w:t>
      </w:r>
      <w:r w:rsidRPr="00AC49E9">
        <w:t xml:space="preserve">Additionally, while not an exact substitute, the </w:t>
      </w:r>
      <w:r>
        <w:t>I′-chart</w:t>
      </w:r>
      <w:r w:rsidRPr="00AC49E9">
        <w:t xml:space="preserve"> shows reasonable alignment with other </w:t>
      </w:r>
      <w:r>
        <w:t xml:space="preserve">popular SPC </w:t>
      </w:r>
      <w:r w:rsidRPr="00AC49E9">
        <w:t>charts</w:t>
      </w:r>
      <w:r>
        <w:t xml:space="preserve"> (</w:t>
      </w:r>
      <w:r w:rsidRPr="00AC49E9">
        <w:t>X̄</w:t>
      </w:r>
      <w:r>
        <w:t>-</w:t>
      </w:r>
      <w:r w:rsidRPr="00AC49E9">
        <w:t>, C</w:t>
      </w:r>
      <w:r>
        <w:t>-</w:t>
      </w:r>
      <w:r w:rsidRPr="00AC49E9">
        <w:t>, U</w:t>
      </w:r>
      <w:r>
        <w:t>-</w:t>
      </w:r>
      <w:r w:rsidRPr="00AC49E9">
        <w:t>, and P</w:t>
      </w:r>
      <w:r>
        <w:t>-</w:t>
      </w:r>
      <w:r w:rsidRPr="00AC49E9">
        <w:t>charts</w:t>
      </w:r>
      <w:r>
        <w:t>). [is this because these traditional charts do not accommodate, both, within and between subgroup variation and the prime charts (</w:t>
      </w:r>
      <w:proofErr w:type="spellStart"/>
      <w:r>
        <w:t>Laneys</w:t>
      </w:r>
      <w:proofErr w:type="spellEnd"/>
      <w:r>
        <w:t xml:space="preserve"> and Taylors) do, hence the extent to divergence between the two approaches depends on the magnitude of the within/between subgroup variation.]  </w:t>
      </w:r>
    </w:p>
    <w:p w14:paraId="2004A82D" w14:textId="3B88E58E" w:rsidR="00AC49E9" w:rsidRPr="00AC49E9" w:rsidRDefault="00237DBA" w:rsidP="00AC49E9">
      <w:pPr>
        <w:jc w:val="both"/>
      </w:pPr>
      <w:r>
        <w:t>A</w:t>
      </w:r>
      <w:r w:rsidRPr="00237DBA">
        <w:t xml:space="preserve"> distinctive feature of the I′</w:t>
      </w:r>
      <w:r>
        <w:t>-</w:t>
      </w:r>
      <w:r w:rsidRPr="00237DBA">
        <w:t xml:space="preserve">chart is </w:t>
      </w:r>
      <w:r>
        <w:t xml:space="preserve">that it produces </w:t>
      </w:r>
      <w:r w:rsidRPr="00237DBA">
        <w:t xml:space="preserve">control limits that </w:t>
      </w:r>
      <w:r>
        <w:t xml:space="preserve">are </w:t>
      </w:r>
      <w:r w:rsidRPr="00237DBA">
        <w:t>“wav</w:t>
      </w:r>
      <w:r>
        <w:t>y</w:t>
      </w:r>
      <w:r w:rsidRPr="00237DBA">
        <w:t>” or undulat</w:t>
      </w:r>
      <w:r>
        <w:t>ing</w:t>
      </w:r>
      <w:r w:rsidRPr="00237DBA">
        <w:t xml:space="preserve"> when denominators change over time. This visual representation offers added insight, making variability in data precision explicit and encouraging more </w:t>
      </w:r>
      <w:r>
        <w:t xml:space="preserve">insightful </w:t>
      </w:r>
      <w:r w:rsidRPr="00237DBA">
        <w:t>interpretation</w:t>
      </w:r>
      <w:r>
        <w:t xml:space="preserve">. In addition, </w:t>
      </w:r>
      <w:r w:rsidR="00AC49E9" w:rsidRPr="00AC49E9">
        <w:t xml:space="preserve">for measurement and count data with varying denominators, the </w:t>
      </w:r>
      <w:r w:rsidR="00AC49E9" w:rsidRPr="00A24516">
        <w:t>I′</w:t>
      </w:r>
      <w:r w:rsidR="00AC49E9" w:rsidRPr="00C9299F">
        <w:t>-</w:t>
      </w:r>
      <w:r w:rsidR="00AC49E9" w:rsidRPr="00A24516">
        <w:t>chart</w:t>
      </w:r>
      <w:r w:rsidR="00AC49E9" w:rsidRPr="00C9299F">
        <w:t xml:space="preserve"> </w:t>
      </w:r>
      <w:r w:rsidR="00AC49E9" w:rsidRPr="00AC49E9">
        <w:t xml:space="preserve">adjusts the </w:t>
      </w:r>
      <w:proofErr w:type="spellStart"/>
      <w:r w:rsidRPr="00C9299F">
        <w:t>cent</w:t>
      </w:r>
      <w:r>
        <w:t>er</w:t>
      </w:r>
      <w:proofErr w:type="spellEnd"/>
      <w:r w:rsidR="00AC49E9" w:rsidRPr="00AC49E9">
        <w:t xml:space="preserve"> line </w:t>
      </w:r>
      <w:r>
        <w:t xml:space="preserve">(?weighted average) </w:t>
      </w:r>
      <w:r w:rsidR="00AC49E9" w:rsidRPr="00AC49E9">
        <w:t xml:space="preserve">and control limits in proportion to subgroup size. This makes it more sensitive and appropriate in real-world healthcare settings where case volume, exposure time, or other denominators often </w:t>
      </w:r>
      <w:r w:rsidR="00AC49E9" w:rsidRPr="00C9299F">
        <w:t xml:space="preserve">vary over </w:t>
      </w:r>
      <w:r w:rsidR="00AC49E9" w:rsidRPr="00AC49E9">
        <w:t xml:space="preserve">time. By accounting for these differences, the </w:t>
      </w:r>
      <w:r w:rsidR="00AC49E9" w:rsidRPr="00C9299F">
        <w:t xml:space="preserve">I′-chart </w:t>
      </w:r>
      <w:r w:rsidR="00AC49E9" w:rsidRPr="00AC49E9">
        <w:t xml:space="preserve">reduces the risk of </w:t>
      </w:r>
      <w:r w:rsidR="00AC49E9" w:rsidRPr="00C9299F">
        <w:t>false-signals</w:t>
      </w:r>
      <w:r w:rsidR="00AC49E9" w:rsidRPr="00AC49E9">
        <w:t>.</w:t>
      </w:r>
    </w:p>
    <w:p w14:paraId="002CD2D6" w14:textId="5298293E" w:rsidR="00237DBA" w:rsidRPr="00C9299F" w:rsidRDefault="00AC49E9" w:rsidP="00AC49E9">
      <w:pPr>
        <w:jc w:val="both"/>
      </w:pPr>
      <w:r w:rsidRPr="00AC49E9">
        <w:t xml:space="preserve">A </w:t>
      </w:r>
      <w:r w:rsidR="00237DBA">
        <w:t>key</w:t>
      </w:r>
      <w:r w:rsidRPr="00AC49E9">
        <w:t xml:space="preserve"> strength of the </w:t>
      </w:r>
      <w:r w:rsidR="00237DBA">
        <w:t>I′-chart</w:t>
      </w:r>
      <w:r w:rsidRPr="00AC49E9">
        <w:t xml:space="preserve"> is that it maintains the simplicity of the </w:t>
      </w:r>
      <w:r w:rsidRPr="00C9299F">
        <w:t>I-chart</w:t>
      </w:r>
      <w:r w:rsidRPr="00AC49E9">
        <w:t xml:space="preserve"> while offering a more context-sensitive representation of variation.</w:t>
      </w:r>
      <w:r w:rsidR="00237DBA">
        <w:t xml:space="preserve"> </w:t>
      </w:r>
      <w:r w:rsidR="00C9299F" w:rsidRPr="00C9299F">
        <w:t xml:space="preserve">One potential barrier to </w:t>
      </w:r>
      <w:r w:rsidR="00237DBA">
        <w:t xml:space="preserve">the </w:t>
      </w:r>
      <w:r w:rsidR="00C9299F" w:rsidRPr="00C9299F">
        <w:t>adoption of the I′</w:t>
      </w:r>
      <w:r w:rsidR="00237DBA">
        <w:t>-</w:t>
      </w:r>
      <w:r w:rsidR="00C9299F" w:rsidRPr="00C9299F">
        <w:t xml:space="preserve"> chart is its more complex formulae compared to the standard </w:t>
      </w:r>
      <w:r w:rsidR="00237DBA">
        <w:t>I-chart</w:t>
      </w:r>
      <w:r w:rsidR="00C9299F" w:rsidRPr="00C9299F">
        <w:t xml:space="preserve">. Calculating variable control limits that adjust for changing denominators involves additional statistical steps, which may be </w:t>
      </w:r>
      <w:r w:rsidR="00237DBA">
        <w:t xml:space="preserve">a barrier </w:t>
      </w:r>
      <w:r w:rsidR="00C9299F" w:rsidRPr="00C9299F">
        <w:t xml:space="preserve">to practitioners accustomed to simpler SPC methods. However, this complexity is readily overcome with modern software tools, which can automate these calculations and present the results in user-friendly formats. As with other advanced analytic techniques in healthcare, once embedded in </w:t>
      </w:r>
      <w:r w:rsidR="00237DBA">
        <w:t>software</w:t>
      </w:r>
      <w:r w:rsidR="00C9299F" w:rsidRPr="00C9299F">
        <w:t xml:space="preserve">, the additional complexity becomes largely invisible to end users—allowing them to benefit from more accurate and context-sensitive charts without increasing </w:t>
      </w:r>
      <w:r w:rsidR="00237DBA">
        <w:t>the</w:t>
      </w:r>
      <w:r w:rsidR="00C9299F" w:rsidRPr="00C9299F">
        <w:t xml:space="preserve"> technical burden.</w:t>
      </w:r>
      <w:r w:rsidR="00237DBA">
        <w:t xml:space="preserve"> We recommend that SPC software incorporate the I′-chart but also make it easy for users to compare traditional SPC charts (</w:t>
      </w:r>
      <w:proofErr w:type="spellStart"/>
      <w:r w:rsidR="00237DBA">
        <w:t>eg</w:t>
      </w:r>
      <w:proofErr w:type="spellEnd"/>
      <w:r w:rsidR="00237DBA">
        <w:t xml:space="preserve"> I-chart, p-chart, etc) alongside the I′-chart (and other prime charts), because this side-by-side comparison of data using different SPC charts itself can also be insightful [ref]. </w:t>
      </w:r>
    </w:p>
    <w:p w14:paraId="321423B6" w14:textId="4CE23681" w:rsidR="00AC49E9" w:rsidRDefault="00237DBA" w:rsidP="00AC49E9">
      <w:pPr>
        <w:jc w:val="both"/>
      </w:pPr>
      <w:r>
        <w:t xml:space="preserve">The I’-chart has superior design properties to the traditional I-chart and so merits </w:t>
      </w:r>
      <w:r w:rsidRPr="00AC49E9">
        <w:t xml:space="preserve">broader </w:t>
      </w:r>
      <w:r>
        <w:t xml:space="preserve">use and </w:t>
      </w:r>
      <w:r w:rsidRPr="00AC49E9">
        <w:t>evaluation</w:t>
      </w:r>
      <w:r>
        <w:t xml:space="preserve">. </w:t>
      </w:r>
      <w:r>
        <w:t>O</w:t>
      </w:r>
      <w:r w:rsidRPr="00AC49E9">
        <w:t xml:space="preserve">ur findings demonstrate that </w:t>
      </w:r>
      <w:r>
        <w:t>the</w:t>
      </w:r>
      <w:r w:rsidRPr="00237DBA">
        <w:t xml:space="preserve"> I′</w:t>
      </w:r>
      <w:r>
        <w:t>-</w:t>
      </w:r>
      <w:r w:rsidRPr="00237DBA">
        <w:t xml:space="preserve">chart retains the simplicity and intuitive appeal of the </w:t>
      </w:r>
      <w:r>
        <w:t>I-chart</w:t>
      </w:r>
      <w:r w:rsidRPr="00237DBA">
        <w:t xml:space="preserve"> </w:t>
      </w:r>
      <w:r>
        <w:t xml:space="preserve">whilst accommodating </w:t>
      </w:r>
      <w:r w:rsidRPr="00237DBA">
        <w:t>variation in denominators, making it suitable for both measurement and count data.</w:t>
      </w:r>
      <w:r>
        <w:t xml:space="preserve"> </w:t>
      </w:r>
      <w:r w:rsidR="00AC49E9" w:rsidRPr="00AC49E9">
        <w:t>We are keen to learn how others in the field perceive its value and whether it enhances their ability to monitor and improve processes using real-world healthcare data.</w:t>
      </w:r>
    </w:p>
    <w:sectPr w:rsidR="00AC4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D685B"/>
    <w:multiLevelType w:val="multilevel"/>
    <w:tmpl w:val="8B2ED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D45FB9"/>
    <w:multiLevelType w:val="multilevel"/>
    <w:tmpl w:val="186E8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E50FB"/>
    <w:multiLevelType w:val="multilevel"/>
    <w:tmpl w:val="CD8CF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768417">
    <w:abstractNumId w:val="2"/>
  </w:num>
  <w:num w:numId="2" w16cid:durableId="476383383">
    <w:abstractNumId w:val="1"/>
  </w:num>
  <w:num w:numId="3" w16cid:durableId="325328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A2"/>
    <w:rsid w:val="000F1CF6"/>
    <w:rsid w:val="0023614E"/>
    <w:rsid w:val="00237DBA"/>
    <w:rsid w:val="002C6240"/>
    <w:rsid w:val="00643B20"/>
    <w:rsid w:val="00804C71"/>
    <w:rsid w:val="00976D9B"/>
    <w:rsid w:val="00986EE8"/>
    <w:rsid w:val="00A24516"/>
    <w:rsid w:val="00A3339D"/>
    <w:rsid w:val="00A36685"/>
    <w:rsid w:val="00AB2EBE"/>
    <w:rsid w:val="00AC49E9"/>
    <w:rsid w:val="00B6757F"/>
    <w:rsid w:val="00B74B80"/>
    <w:rsid w:val="00C20901"/>
    <w:rsid w:val="00C9299F"/>
    <w:rsid w:val="00DF3733"/>
    <w:rsid w:val="00F47DA2"/>
    <w:rsid w:val="00F9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8E12"/>
  <w15:chartTrackingRefBased/>
  <w15:docId w15:val="{9C090740-C270-4A5E-A764-C86C985C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4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Mohammed (Strategy Unit, hosted by ML)</dc:creator>
  <cp:keywords/>
  <dc:description/>
  <cp:lastModifiedBy>Mohammed Mohammed (Strategy Unit, hosted by ML)</cp:lastModifiedBy>
  <cp:revision>5</cp:revision>
  <dcterms:created xsi:type="dcterms:W3CDTF">2025-05-09T09:22:00Z</dcterms:created>
  <dcterms:modified xsi:type="dcterms:W3CDTF">2025-05-10T09:40:00Z</dcterms:modified>
</cp:coreProperties>
</file>