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隶书" w:hAnsi="Calibri" w:eastAsia="隶书" w:cs="Times New Roman"/>
          <w:b/>
          <w:sz w:val="56"/>
        </w:rPr>
      </w:pPr>
    </w:p>
    <w:p>
      <w:pPr>
        <w:snapToGrid w:val="0"/>
        <w:spacing w:beforeLines="100"/>
        <w:rPr>
          <w:rFonts w:ascii="隶书" w:hAnsi="Calibri" w:eastAsia="隶书" w:cs="Times New Roman"/>
          <w:b/>
          <w:sz w:val="96"/>
          <w:szCs w:val="116"/>
        </w:rPr>
      </w:pPr>
      <w:r>
        <w:rPr>
          <w:rFonts w:ascii="Calibri" w:hAnsi="Calibri" w:eastAsia="宋体" w:cs="Times New Roman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0" t="0" r="18415" b="17145"/>
            <wp:wrapSquare wrapText="bothSides"/>
            <wp:docPr id="30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0" t="0" r="18415" b="3810"/>
            <wp:wrapSquare wrapText="bothSides"/>
            <wp:docPr id="31" name="图片 31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beforeLines="100"/>
        <w:jc w:val="center"/>
        <w:rPr>
          <w:rFonts w:ascii="隶书" w:hAnsi="Calibri" w:eastAsia="隶书" w:cs="Times New Roman"/>
          <w:b/>
          <w:sz w:val="80"/>
          <w:szCs w:val="80"/>
        </w:rPr>
      </w:pPr>
      <w:r>
        <w:rPr>
          <w:rFonts w:hint="eastAsia" w:ascii="隶书" w:hAnsi="Calibri" w:eastAsia="隶书" w:cs="Times New Roman"/>
          <w:b/>
          <w:sz w:val="80"/>
          <w:szCs w:val="80"/>
        </w:rPr>
        <w:t>实验报告</w:t>
      </w:r>
    </w:p>
    <w:p>
      <w:pPr>
        <w:snapToGrid w:val="0"/>
        <w:spacing w:beforeLines="100"/>
        <w:jc w:val="center"/>
        <w:rPr>
          <w:rFonts w:ascii="隶书" w:hAnsi="Calibri" w:eastAsia="隶书" w:cs="Times New Roman"/>
          <w:b/>
          <w:sz w:val="96"/>
          <w:szCs w:val="116"/>
        </w:rPr>
      </w:pPr>
    </w:p>
    <w:p>
      <w:pPr>
        <w:rPr>
          <w:rFonts w:ascii="Calibri" w:hAnsi="Calibri" w:eastAsia="宋体" w:cs="Times New Roman"/>
          <w:b/>
          <w:sz w:val="28"/>
          <w:szCs w:val="28"/>
          <w:u w:val="thick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课程名称：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计算机系统安全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实验名称：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   完整性访问控制系统设计与实现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</w:t>
      </w:r>
    </w:p>
    <w:p>
      <w:pPr>
        <w:rPr>
          <w:rFonts w:ascii="Calibri" w:hAnsi="Calibri" w:eastAsia="宋体" w:cs="Times New Roman"/>
          <w:b/>
          <w:sz w:val="28"/>
          <w:szCs w:val="28"/>
          <w:u w:val="thick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实验日期：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2018.12.27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班    级：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1603102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姓    名：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安宏展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指导教师：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张玥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                                         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widowControl/>
        <w:jc w:val="left"/>
        <w:rPr>
          <w:rFonts w:ascii="宋体" w:hAnsi="宋体" w:eastAsia="宋体"/>
          <w:b/>
          <w:sz w:val="28"/>
          <w:szCs w:val="28"/>
        </w:rPr>
      </w:pP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给出应用系统的安全策略文档。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首先用户可以进入登陆界面，选择登陆，如果这名用户是真实注册过的，则进入操作界面，共有四种操作，取款、存款、查询、返回。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取款和存款需要首先输入金额，然后管理员处会出现取款或存款的金额，管理员认证通过后才能该操作成功。取款金额不能超过当前拥有的金额。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查询即为调用当前数据库中的数据。</w:t>
      </w:r>
    </w:p>
    <w:p>
      <w:pPr>
        <w:widowControl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返回操作为退出登陆。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提供交互界面，能够完成录入、查询等功能。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登陆界面：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333115" cy="190500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1905000"/>
            <wp:effectExtent l="0" t="0" r="63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333115" cy="1905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取款界面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333115" cy="1905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输入金额后弹出的管理员界面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333115" cy="1905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3333115" cy="1905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查询界面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1905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满足责任分离原则。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在完整性策略定义的授权方式里面，责任分离原则禁止一个实体完成单独完成一个操作。我们的用户相当于一个实体，对于查询和退出登陆两种操作是用户自身的权力，而且不影响数据的完整性。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于取款和存款两种操作，会对数据库中的内容进行修改，所以此时必须采用责任分离的原则，管理员用户由此诞生。单独有管理员时他不能做任何事情，单独有用户他只能查询余额，只有在用户申请这两种然后管理员同意时操作才能完成，符合责任分离的原则，同时也能保证数据的完整性。</w:t>
      </w: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</w:pPr>
      <w:r>
        <w:rPr>
          <w:rFonts w:hint="eastAsia" w:ascii="宋体" w:hAnsi="宋体" w:eastAsia="宋体"/>
          <w:sz w:val="24"/>
          <w:szCs w:val="24"/>
        </w:rPr>
        <w:t>保存审计日志。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所有正确操作都使用INFO类型的日志记载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082675"/>
            <wp:effectExtent l="0" t="0" r="7620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同理，操作错误会用ERROR类型的日志记载</w:t>
      </w: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273675" cy="1209040"/>
            <wp:effectExtent l="0" t="0" r="3175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遵循C</w:t>
      </w:r>
      <w:r>
        <w:rPr>
          <w:rFonts w:ascii="宋体" w:hAnsi="宋体" w:eastAsia="宋体"/>
          <w:sz w:val="24"/>
          <w:szCs w:val="24"/>
        </w:rPr>
        <w:t>lark-Wilson</w:t>
      </w:r>
      <w:r>
        <w:rPr>
          <w:rFonts w:hint="eastAsia" w:ascii="宋体" w:hAnsi="宋体" w:eastAsia="宋体"/>
          <w:sz w:val="24"/>
          <w:szCs w:val="24"/>
        </w:rPr>
        <w:t>模型，定义应用系统的完整性限制条件。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lark-Wilson</w:t>
      </w:r>
      <w:r>
        <w:rPr>
          <w:rFonts w:hint="eastAsia" w:ascii="宋体" w:hAnsi="宋体" w:eastAsia="宋体"/>
          <w:sz w:val="24"/>
          <w:szCs w:val="24"/>
        </w:rPr>
        <w:t>模型考虑如下几点：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1）主体必须被识别和认证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2）客体只能通过规定的程序进行操作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3）主体只能执行规定的程序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4）必须维护正确的审计日志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5）系统必须被证明能够正确工作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如果把管理员看作主体，用户为客体，则管理员登陆界面即为认证过程，管理员的用户和密码只有自己才能知道的，满足1）。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作为客体的用户只能进行取款、存款、查询、返回四种操作，满足2）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主体管理员只能进行认证，不能单独进行存款取款等操作，满足3）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证明4）、5）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下面以几个操作为例：1、登陆2、查询3、取款100 4、存款12 5、返回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首先登陆查询，可以发现与当前存款完全相同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</w:pPr>
      <w:r>
        <w:drawing>
          <wp:inline distT="0" distB="0" distL="114300" distR="114300">
            <wp:extent cx="5271770" cy="708025"/>
            <wp:effectExtent l="0" t="0" r="508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然后取款100</w:t>
      </w:r>
    </w:p>
    <w:p>
      <w:pPr>
        <w:widowControl/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5269865" cy="71628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最后存款12.5</w:t>
      </w:r>
    </w:p>
    <w:p>
      <w:pPr>
        <w:widowControl/>
        <w:spacing w:line="360" w:lineRule="auto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48970"/>
            <wp:effectExtent l="0" t="0" r="635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（6）遵循C</w:t>
      </w:r>
      <w:r>
        <w:rPr>
          <w:rFonts w:ascii="宋体" w:hAnsi="宋体" w:eastAsia="宋体"/>
          <w:sz w:val="24"/>
          <w:szCs w:val="24"/>
        </w:rPr>
        <w:t>lark-Wilson</w:t>
      </w:r>
      <w:r>
        <w:rPr>
          <w:rFonts w:hint="eastAsia" w:ascii="宋体" w:hAnsi="宋体" w:eastAsia="宋体"/>
          <w:sz w:val="24"/>
          <w:szCs w:val="24"/>
        </w:rPr>
        <w:t>模型的证明规则和实施规则，并在设计报告中有所体现。</w:t>
      </w:r>
    </w:p>
    <w:p>
      <w:pPr>
        <w:widowControl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B5CD48"/>
    <w:multiLevelType w:val="singleLevel"/>
    <w:tmpl w:val="D2B5CD4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F23E8"/>
    <w:rsid w:val="05AB3F3A"/>
    <w:rsid w:val="08F65CCE"/>
    <w:rsid w:val="2CF548F2"/>
    <w:rsid w:val="67B91EC4"/>
    <w:rsid w:val="77D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2018-12-26T14:27:00Z</dcterms:created>
  <dc:creator>安宏展</dc:creator>
  <cp:lastModifiedBy>安宏展</cp:lastModifiedBy>
  <dcterms:modified xsi:type="dcterms:W3CDTF">2018-12-26T15:52:03Z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