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44"/>
          <w:szCs w:val="44"/>
          <w:lang w:val="en-US" w:eastAsia="zh-CN" w:bidi="ar"/>
        </w:rPr>
        <w:t>Chapter 4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44"/>
          <w:szCs w:val="44"/>
          <w:lang w:val="en-US" w:eastAsia="zh-CN" w:bidi="ar"/>
        </w:rPr>
        <w:t>Functions</w:t>
      </w:r>
    </w:p>
    <w:p>
      <w:pPr>
        <w:jc w:val="center"/>
      </w:pPr>
    </w:p>
    <w:p>
      <w:pPr>
        <w:jc w:val="center"/>
      </w:pPr>
    </w:p>
    <w:p>
      <w:pPr>
        <w:jc w:val="left"/>
      </w:pPr>
      <w:r>
        <w:drawing>
          <wp:inline distT="0" distB="0" distL="114300" distR="114300">
            <wp:extent cx="5270500" cy="179133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0500" cy="2301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E1D39"/>
    <w:rsid w:val="225E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2025-11-24T06:07:00Z</dcterms:created>
  <dc:creator>ACER</dc:creator>
  <cp:lastModifiedBy>ACER</cp:lastModifiedBy>
  <dcterms:modified xsi:type="dcterms:W3CDTF">2025-11-24T06:09:04Z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