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Quantum + AI Challenge 2026</w:t>
      </w:r>
    </w:p>
    <w:p>
      <w:pPr>
        <w:pStyle w:val="Heading2"/>
      </w:pPr>
      <w:r>
        <w:t>Enterprise Challenge Statement</w:t>
      </w:r>
    </w:p>
    <w:p>
      <w:r>
        <w:t>__________________________________________________</w:t>
      </w:r>
    </w:p>
    <w:p>
      <w:pPr>
        <w:pStyle w:val="Heading2"/>
      </w:pPr>
      <w:r>
        <w:t>1. Challenge Title</w:t>
      </w:r>
    </w:p>
    <w:p>
      <w:r>
        <w:t>Quantum-Enhanced Credit Card Fraud Detection for Digital Payment Ecosystems</w:t>
      </w:r>
    </w:p>
    <w:p>
      <w:r>
        <w:t>__________________________________________________</w:t>
      </w:r>
    </w:p>
    <w:p>
      <w:pPr>
        <w:pStyle w:val="Heading2"/>
      </w:pPr>
      <w:r>
        <w:t>2. Executive Summary</w:t>
      </w:r>
    </w:p>
    <w:p>
      <w:pPr>
        <w:pStyle w:val="Heading3"/>
      </w:pPr>
      <w:r>
        <w:t>The Problem</w:t>
      </w:r>
    </w:p>
    <w:p>
      <w:r>
        <w:t>Credit card fraud remains one of the most persistent challenges facing the global financial services industry. Global card fraud losses reached $33.83 billion in 2023 (The Nilson Report, 2025), with cumulative projected losses of $403.88 billion over the next decade (The Nilson Report, 2025). As digital wallet transaction volumes surpass $10 trillion globally (Juniper Research, 2021), and digital payment spending grows to $18.7 trillion across all channels (Worldpay, 2025), fraudsters have become increasingly sophisticated — employing techniques including synthetic identity fraud, account takeover, and card-not-present (CNP) attacks.</w:t>
      </w:r>
    </w:p>
    <w:p>
      <w:pPr>
        <w:pStyle w:val="Heading3"/>
      </w:pPr>
      <w:r>
        <w:t>Why It Matters</w:t>
      </w:r>
    </w:p>
    <w:p>
      <w:r>
        <w:t>For financial institutions, fraud detection directly impacts profitability, customer trust, and operational efficiency. Each dollar of fraud costs U.S. financial institutions approximately $4.41 when accounting for investigation, remediation, and customer compensation (LexisNexis Risk Solutions, 2024). False declines — legitimate transactions incorrectly blocked — compound this cost further: an estimated $443 billion in legitimate transactions were falsely declined globally by 2021 (Aite-Novarica Group, 2019), and studies indicate that more than 40% of customers abandon a purchase entirely after their payment method is declined (Radial, 2023). Additionally, between 30% and 70% of all merchant-declined orders are in fact legitimate (Riskified, 2023). Achieving an optimal balance between fraud detection and customer experience remains an open challenge across the industry.</w:t>
      </w:r>
    </w:p>
    <w:p>
      <w:pPr>
        <w:pStyle w:val="Heading3"/>
      </w:pPr>
      <w:r>
        <w:t>Why Current Tools Fall Short</w:t>
      </w:r>
    </w:p>
    <w:p>
      <w:r>
        <w:t>Rule-based transaction monitoring systems are known to generate false positive rates of 90–95% in traditional alert-driven workflows (PricewaterhouseCoopers, as cited in Flagright, 2023). Classical machine learning approaches — while more adaptive — face computational bottlenecks in processing high-dimensional transaction features, struggle with extreme class imbalance (fraud typically represents less than 1% of transactions), and often miss sophisticated fraud patterns that span complex feature correlations. In the IEEE-CIS Fraud Detection competition, even the winning ensemble of gradient-boosted models achieved an AUC-ROC of 0.9459 (Deotte, 2019), suggesting room for further improvement in separating fraud from legitimate activity.</w:t>
      </w:r>
    </w:p>
    <w:p>
      <w:pPr>
        <w:pStyle w:val="Heading3"/>
      </w:pPr>
      <w:r>
        <w:t>The Quantum Opportunity</w:t>
      </w:r>
    </w:p>
    <w:p>
      <w:r>
        <w:t>Quantum and quantum-inspired machine learning methods offer potential pathways to improvement through:</w:t>
      </w:r>
    </w:p>
    <w:p>
      <w:pPr>
        <w:pStyle w:val="ListBullet"/>
      </w:pPr>
      <w:r>
        <w:t>Enhanced feature space mapping: Quantum kernels can project transaction data into exponentially larger Hilbert spaces, potentially enabling better separation between legitimate and fraudulent patterns</w:t>
      </w:r>
    </w:p>
    <w:p>
      <w:pPr>
        <w:pStyle w:val="ListBullet"/>
      </w:pPr>
      <w:r>
        <w:t>Efficient anomaly detection: Quantum autoencoders may compress normal transaction patterns more efficiently, enabling more sensitive detection of deviations</w:t>
      </w:r>
    </w:p>
    <w:p>
      <w:pPr>
        <w:pStyle w:val="ListBullet"/>
      </w:pPr>
      <w:r>
        <w:t>Pattern correlation: Quantum entanglement can naturally capture complex correlations across multiple transaction features simultaneously</w:t>
      </w:r>
    </w:p>
    <w:p>
      <w:r>
        <w:t>Early research is promising. A hybrid quantum neural network built by Deloitte Italy using Amazon Braket achieved 0.87 precision on fraud detection with fewer parameters than its classical counterpart (Deloitte + AWS, 2024). Variational Quantum Classifiers have reached F1 scores of 0.88 on the European Cardholder dataset (Karimi et al., 2024), and Quantum Support Vector Classifiers have shown competitive F1 scores of 0.98 in comparative studies (Innan et al., 2023).</w:t>
      </w:r>
    </w:p>
    <w:p>
      <w:r>
        <w:t>Participants in this challenge will have access to real quantum hardware through Amazon Braket, which provides on-demand access to quantum processing units (QPUs) from multiple hardware providers — including trapped-ion, superconducting, and neutral-atom technologies (AWS, 2025) — alongside managed cloud-based simulators for prototyping and benchmarking.</w:t>
      </w:r>
    </w:p>
    <w:p>
      <w:pPr>
        <w:pStyle w:val="Heading3"/>
      </w:pPr>
      <w:r>
        <w:t>Participant Deliverable</w:t>
      </w:r>
    </w:p>
    <w:p>
      <w:r>
        <w:t>Participants are asked to develop a quantum or quantum-inspired fraud detection solution that explores measurable improvement over classical machine learning baselines on the provided benchmark datasets, with an emphasis on explainability and practical considerations for enterprise deployment. Participants are encouraged to execute their models on real quantum hardware through Amazon Braket, in addition to simulation-based development.</w:t>
      </w:r>
    </w:p>
    <w:p>
      <w:r>
        <w:t>__________________________________________________</w:t>
      </w:r>
    </w:p>
    <w:p>
      <w:pPr>
        <w:pStyle w:val="Heading2"/>
      </w:pPr>
      <w:r>
        <w:t>3. Industrial and Operational Context</w:t>
      </w:r>
    </w:p>
    <w:p>
      <w:pPr>
        <w:pStyle w:val="Heading3"/>
      </w:pPr>
      <w:r>
        <w:t>3.1 The Payment Processing Value Chain</w:t>
      </w:r>
    </w:p>
    <w:p>
      <w:r>
        <w:t>Credit card fraud detection operates within a complex, time-critical ecosystem:</w:t>
      </w:r>
    </w:p>
    <w:p>
      <w:pPr>
        <w:spacing w:before="120" w:after="120"/>
        <w:ind w:left="720"/>
      </w:pPr>
      <w:r>
        <w:rPr>
          <w:rFonts w:ascii="Consolas" w:hAnsi="Consolas"/>
          <w:sz w:val="18"/>
        </w:rPr>
        <w:t>Cardholder → Merchant POS/Website → Payment Gateway → Acquiring Bank →</w:t>
        <w:br/>
        <w:t>Card Network (Visa/Mastercard) → Issuing Bank → Authorization Decision</w:t>
      </w:r>
    </w:p>
    <w:p>
      <w:r>
        <w:t>The entire authorization flow — including fraud assessment — typically completes within 100–300 milliseconds to avoid transaction timeouts.</w:t>
      </w:r>
    </w:p>
    <w:p>
      <w:pPr>
        <w:pStyle w:val="Heading3"/>
      </w:pPr>
      <w:r>
        <w:t>3.2 Key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Stakeholder</w:t>
            </w:r>
          </w:p>
        </w:tc>
        <w:tc>
          <w:tcPr>
            <w:tcW w:type="dxa" w:w="2880"/>
            <w:shd w:fill="003366"/>
          </w:tcPr>
          <w:p>
            <w:r>
              <w:rPr>
                <w:b/>
                <w:color w:val="FFFFFF"/>
              </w:rPr>
              <w:t>Role</w:t>
            </w:r>
          </w:p>
        </w:tc>
        <w:tc>
          <w:tcPr>
            <w:tcW w:type="dxa" w:w="2880"/>
            <w:shd w:fill="003366"/>
          </w:tcPr>
          <w:p>
            <w:r>
              <w:rPr>
                <w:b/>
                <w:color w:val="FFFFFF"/>
              </w:rPr>
              <w:t>Primary Concern</w:t>
            </w:r>
          </w:p>
        </w:tc>
      </w:tr>
      <w:tr>
        <w:tc>
          <w:tcPr>
            <w:tcW w:type="dxa" w:w="2880"/>
            <w:shd w:fill="F2F2F2"/>
          </w:tcPr>
          <w:p>
            <w:r>
              <w:t>**Issuing Banks**</w:t>
            </w:r>
          </w:p>
        </w:tc>
        <w:tc>
          <w:tcPr>
            <w:tcW w:type="dxa" w:w="2880"/>
            <w:shd w:fill="F2F2F2"/>
          </w:tcPr>
          <w:p>
            <w:r>
              <w:t>Authorize or decline transactions</w:t>
            </w:r>
          </w:p>
        </w:tc>
        <w:tc>
          <w:tcPr>
            <w:tcW w:type="dxa" w:w="2880"/>
            <w:shd w:fill="F2F2F2"/>
          </w:tcPr>
          <w:p>
            <w:r>
              <w:t>Balance fraud loss vs. customer experience</w:t>
            </w:r>
          </w:p>
        </w:tc>
      </w:tr>
      <w:tr>
        <w:tc>
          <w:tcPr>
            <w:tcW w:type="dxa" w:w="2880"/>
          </w:tcPr>
          <w:p>
            <w:r>
              <w:t>**Card Networks**</w:t>
            </w:r>
          </w:p>
        </w:tc>
        <w:tc>
          <w:tcPr>
            <w:tcW w:type="dxa" w:w="2880"/>
          </w:tcPr>
          <w:p>
            <w:r>
              <w:t>Set rules, provide consortium data</w:t>
            </w:r>
          </w:p>
        </w:tc>
        <w:tc>
          <w:tcPr>
            <w:tcW w:type="dxa" w:w="2880"/>
          </w:tcPr>
          <w:p>
            <w:r>
              <w:t>Network-wide fraud patterns</w:t>
            </w:r>
          </w:p>
        </w:tc>
      </w:tr>
      <w:tr>
        <w:tc>
          <w:tcPr>
            <w:tcW w:type="dxa" w:w="2880"/>
            <w:shd w:fill="F2F2F2"/>
          </w:tcPr>
          <w:p>
            <w:r>
              <w:t>**Merchants**</w:t>
            </w:r>
          </w:p>
        </w:tc>
        <w:tc>
          <w:tcPr>
            <w:tcW w:type="dxa" w:w="2880"/>
            <w:shd w:fill="F2F2F2"/>
          </w:tcPr>
          <w:p>
            <w:r>
              <w:t>Accept payments, bear chargeback liability (CNP)</w:t>
            </w:r>
          </w:p>
        </w:tc>
        <w:tc>
          <w:tcPr>
            <w:tcW w:type="dxa" w:w="2880"/>
            <w:shd w:fill="F2F2F2"/>
          </w:tcPr>
          <w:p>
            <w:r>
              <w:t>Revenue loss from false declines</w:t>
            </w:r>
          </w:p>
        </w:tc>
      </w:tr>
      <w:tr>
        <w:tc>
          <w:tcPr>
            <w:tcW w:type="dxa" w:w="2880"/>
          </w:tcPr>
          <w:p>
            <w:r>
              <w:t>**Payment Processors**</w:t>
            </w:r>
          </w:p>
        </w:tc>
        <w:tc>
          <w:tcPr>
            <w:tcW w:type="dxa" w:w="2880"/>
          </w:tcPr>
          <w:p>
            <w:r>
              <w:t>Route and process transactions</w:t>
            </w:r>
          </w:p>
        </w:tc>
        <w:tc>
          <w:tcPr>
            <w:tcW w:type="dxa" w:w="2880"/>
          </w:tcPr>
          <w:p>
            <w:r>
              <w:t>Throughput and latency</w:t>
            </w:r>
          </w:p>
        </w:tc>
      </w:tr>
      <w:tr>
        <w:tc>
          <w:tcPr>
            <w:tcW w:type="dxa" w:w="2880"/>
            <w:shd w:fill="F2F2F2"/>
          </w:tcPr>
          <w:p>
            <w:r>
              <w:t>**Regulators**</w:t>
            </w:r>
          </w:p>
        </w:tc>
        <w:tc>
          <w:tcPr>
            <w:tcW w:type="dxa" w:w="2880"/>
            <w:shd w:fill="F2F2F2"/>
          </w:tcPr>
          <w:p>
            <w:r>
              <w:t>Enforce consumer protection</w:t>
            </w:r>
          </w:p>
        </w:tc>
        <w:tc>
          <w:tcPr>
            <w:tcW w:type="dxa" w:w="2880"/>
            <w:shd w:fill="F2F2F2"/>
          </w:tcPr>
          <w:p>
            <w:r>
              <w:t>Explainability, fairness</w:t>
            </w:r>
          </w:p>
        </w:tc>
      </w:tr>
      <w:tr>
        <w:tc>
          <w:tcPr>
            <w:tcW w:type="dxa" w:w="2880"/>
          </w:tcPr>
          <w:p>
            <w:r>
              <w:t>**Cardholders**</w:t>
            </w:r>
          </w:p>
        </w:tc>
        <w:tc>
          <w:tcPr>
            <w:tcW w:type="dxa" w:w="2880"/>
          </w:tcPr>
          <w:p>
            <w:r>
              <w:t>End users</w:t>
            </w:r>
          </w:p>
        </w:tc>
        <w:tc>
          <w:tcPr>
            <w:tcW w:type="dxa" w:w="2880"/>
          </w:tcPr>
          <w:p>
            <w:r>
              <w:t>Seamless experience, fraud protection</w:t>
            </w:r>
          </w:p>
        </w:tc>
      </w:tr>
    </w:tbl>
    <w:p/>
    <w:p>
      <w:pPr>
        <w:pStyle w:val="Heading3"/>
      </w:pPr>
      <w:r>
        <w:t>3.3 Current Detection Methods</w:t>
      </w:r>
    </w:p>
    <w:p>
      <w:r>
        <w:t>Rule-Based Systems (Legacy)</w:t>
      </w:r>
    </w:p>
    <w:p>
      <w:pPr>
        <w:pStyle w:val="ListBullet"/>
      </w:pPr>
      <w:r>
        <w:t>Velocity rules (transaction count/amount thresholds)</w:t>
      </w:r>
    </w:p>
    <w:p>
      <w:pPr>
        <w:pStyle w:val="ListBullet"/>
      </w:pPr>
      <w:r>
        <w:t>Geographic rules (impossible travel detection)</w:t>
      </w:r>
    </w:p>
    <w:p>
      <w:pPr>
        <w:pStyle w:val="ListBullet"/>
      </w:pPr>
      <w:r>
        <w:t>Merchant category restrictions</w:t>
      </w:r>
    </w:p>
    <w:p>
      <w:pPr>
        <w:pStyle w:val="ListBullet"/>
      </w:pPr>
      <w:r>
        <w:t>Limitation: Rigid, easily evaded, generates excessive false alerts</w:t>
      </w:r>
    </w:p>
    <w:p>
      <w:r>
        <w:t>Machine Learning Models (Current State-of-Art)</w:t>
      </w:r>
    </w:p>
    <w:p>
      <w:pPr>
        <w:pStyle w:val="ListBullet"/>
      </w:pPr>
      <w:r>
        <w:t>Gradient boosting ensembles (XGBoost, LightGBM, CatBoost) on engineered features</w:t>
      </w:r>
    </w:p>
    <w:p>
      <w:pPr>
        <w:pStyle w:val="ListBullet"/>
      </w:pPr>
      <w:r>
        <w:t>Neural networks for sequence modeling</w:t>
      </w:r>
    </w:p>
    <w:p>
      <w:pPr>
        <w:pStyle w:val="ListBullet"/>
      </w:pPr>
      <w:r>
        <w:t>Consortium models leveraging cross-institution data</w:t>
      </w:r>
    </w:p>
    <w:p>
      <w:pPr>
        <w:pStyle w:val="ListBullet"/>
      </w:pPr>
      <w:r>
        <w:t>Limitation: Feature engineering bottleneck, class imbalance challenges, limited kernel expressiveness</w:t>
      </w:r>
    </w:p>
    <w:p>
      <w:r>
        <w:t>Ensemble Approaches</w:t>
      </w:r>
    </w:p>
    <w:p>
      <w:pPr>
        <w:pStyle w:val="ListBullet"/>
      </w:pPr>
      <w:r>
        <w:t>Combination of rules, ML models, and behavioral analytics</w:t>
      </w:r>
    </w:p>
    <w:p>
      <w:pPr>
        <w:pStyle w:val="ListBullet"/>
      </w:pPr>
      <w:r>
        <w:t>Real-time and batch processing pipelines</w:t>
      </w:r>
    </w:p>
    <w:p>
      <w:pPr>
        <w:pStyle w:val="ListBullet"/>
      </w:pPr>
      <w:r>
        <w:t>Limitation: Complexity, maintenance overhead, diminishing returns from additional classical models</w:t>
      </w:r>
    </w:p>
    <w:p>
      <w:pPr>
        <w:pStyle w:val="Heading3"/>
      </w:pPr>
      <w:r>
        <w:t>3.4 Current Bottlenecks</w:t>
      </w:r>
    </w:p>
    <w:p>
      <w:pPr>
        <w:pStyle w:val="ListNumber"/>
      </w:pPr>
      <w:r>
        <w:t>Detection-Experience Tradeoff: Improving detection typically increases false positives, directly impacting customer experience and revenue</w:t>
      </w:r>
    </w:p>
    <w:p>
      <w:pPr>
        <w:pStyle w:val="ListNumber"/>
      </w:pPr>
      <w:r>
        <w:t>Feature Engineering: Manual feature creation is time-consuming and may miss subtle multi-dimensional patterns</w:t>
      </w:r>
    </w:p>
    <w:p>
      <w:pPr>
        <w:pStyle w:val="ListNumber"/>
      </w:pPr>
      <w:r>
        <w:t>Class Imbalance: Fraud represents a very small fraction of transactions (0.172% in the European Cardholder dataset, 3.5% in IEEE-CIS), making model training and evaluation non-trivial (Dal Pozzolo et al., 2015)</w:t>
      </w:r>
    </w:p>
    <w:p>
      <w:pPr>
        <w:pStyle w:val="ListNumber"/>
      </w:pPr>
      <w:r>
        <w:t>Adversarial Adaptation: Fraudsters continuously adapt to detection methods</w:t>
      </w:r>
    </w:p>
    <w:p>
      <w:pPr>
        <w:pStyle w:val="ListNumber"/>
      </w:pPr>
      <w:r>
        <w:t>Latency vs. Complexity: More expressive models often cannot meet millisecond latency requirements</w:t>
      </w:r>
    </w:p>
    <w:p>
      <w:r>
        <w:t>__________________________________________________</w:t>
      </w:r>
    </w:p>
    <w:p>
      <w:pPr>
        <w:pStyle w:val="Heading2"/>
      </w:pPr>
      <w:r>
        <w:t>4. Challenge Objective</w:t>
      </w:r>
    </w:p>
    <w:p>
      <w:pPr>
        <w:pStyle w:val="Heading3"/>
      </w:pPr>
      <w:r>
        <w:t>4.1 Primary Objective</w:t>
      </w:r>
    </w:p>
    <w:p>
      <w:r>
        <w:t>Develop a quantum or quantum-inspired fraud detection model and evaluate it against established classical baselines on the provided datasets.</w:t>
      </w:r>
    </w:p>
    <w:p>
      <w:r>
        <w:t>The primary evaluation metrics are:</w:t>
      </w:r>
    </w:p>
    <w:p>
      <w:pPr>
        <w:pStyle w:val="ListBullet"/>
      </w:pPr>
      <w:r>
        <w:t>AUC-ROC — Threshold-independent measure of discrimination</w:t>
      </w:r>
    </w:p>
    <w:p>
      <w:pPr>
        <w:pStyle w:val="ListBullet"/>
      </w:pPr>
      <w:r>
        <w:t>AUPRC (Area Under Precision-Recall Curve) — Recommended for imbalanced datasets (Dal Pozzolo et al., 2015); captures performance across precision-recall tradeoffs</w:t>
      </w:r>
    </w:p>
    <w:p>
      <w:pPr>
        <w:pStyle w:val="ListBullet"/>
      </w:pPr>
      <w:r>
        <w:t>F1-Score — Balanced measure of precision and recall</w:t>
      </w:r>
    </w:p>
    <w:p>
      <w:r>
        <w:t>Established Baselines for Reference:</w:t>
      </w:r>
    </w:p>
    <w:p>
      <w:r>
        <w:t>IEEE-CIS Fraud Detection (Kaggle, 2019):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Approach</w:t>
            </w:r>
          </w:p>
        </w:tc>
        <w:tc>
          <w:tcPr>
            <w:tcW w:type="dxa" w:w="2160"/>
            <w:shd w:fill="003366"/>
          </w:tcPr>
          <w:p>
            <w:r>
              <w:rPr>
                <w:b/>
                <w:color w:val="FFFFFF"/>
              </w:rPr>
              <w:t>AUC-ROC</w:t>
            </w:r>
          </w:p>
        </w:tc>
        <w:tc>
          <w:tcPr>
            <w:tcW w:type="dxa" w:w="2160"/>
            <w:shd w:fill="003366"/>
          </w:tcPr>
          <w:p>
            <w:r>
              <w:rPr>
                <w:b/>
                <w:color w:val="FFFFFF"/>
              </w:rPr>
              <w:t>Method</w:t>
            </w:r>
          </w:p>
        </w:tc>
        <w:tc>
          <w:tcPr>
            <w:tcW w:type="dxa" w:w="2160"/>
            <w:shd w:fill="003366"/>
          </w:tcPr>
          <w:p>
            <w:r>
              <w:rPr>
                <w:b/>
                <w:color w:val="FFFFFF"/>
              </w:rPr>
              <w:t>Source</w:t>
            </w:r>
          </w:p>
        </w:tc>
      </w:tr>
      <w:tr>
        <w:tc>
          <w:tcPr>
            <w:tcW w:type="dxa" w:w="2160"/>
            <w:shd w:fill="F2F2F2"/>
          </w:tcPr>
          <w:p>
            <w:r>
              <w:t>1st Place</w:t>
            </w:r>
          </w:p>
        </w:tc>
        <w:tc>
          <w:tcPr>
            <w:tcW w:type="dxa" w:w="2160"/>
            <w:shd w:fill="F2F2F2"/>
          </w:tcPr>
          <w:p>
            <w:r>
              <w:t>0.9459</w:t>
            </w:r>
          </w:p>
        </w:tc>
        <w:tc>
          <w:tcPr>
            <w:tcW w:type="dxa" w:w="2160"/>
            <w:shd w:fill="F2F2F2"/>
          </w:tcPr>
          <w:p>
            <w:r>
              <w:t>XGBoost + CatBoost + LightGBM ensemble</w:t>
            </w:r>
          </w:p>
        </w:tc>
        <w:tc>
          <w:tcPr>
            <w:tcW w:type="dxa" w:w="2160"/>
            <w:shd w:fill="F2F2F2"/>
          </w:tcPr>
          <w:p>
            <w:r>
              <w:t>(Deotte, 2019 via NVIDIA)</w:t>
            </w:r>
          </w:p>
        </w:tc>
      </w:tr>
      <w:tr>
        <w:tc>
          <w:tcPr>
            <w:tcW w:type="dxa" w:w="2160"/>
          </w:tcPr>
          <w:p>
            <w:r>
              <w:t>Top 10</w:t>
            </w:r>
          </w:p>
        </w:tc>
        <w:tc>
          <w:tcPr>
            <w:tcW w:type="dxa" w:w="2160"/>
          </w:tcPr>
          <w:p>
            <w:r>
              <w:t>~0.94</w:t>
            </w:r>
          </w:p>
        </w:tc>
        <w:tc>
          <w:tcPr>
            <w:tcW w:type="dxa" w:w="2160"/>
          </w:tcPr>
          <w:p>
            <w:r>
              <w:t>Gradient-boosted tree ensembles</w:t>
            </w:r>
          </w:p>
        </w:tc>
        <w:tc>
          <w:tcPr>
            <w:tcW w:type="dxa" w:w="2160"/>
          </w:tcPr>
          <w:p>
            <w:r>
              <w:t>(Kaggle Leaderboard, 2019)</w:t>
            </w:r>
          </w:p>
        </w:tc>
      </w:tr>
    </w:tbl>
    <w:p/>
    <w:p>
      <w:r>
        <w:t>European Cardholder Dataset (ULB):</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Approach</w:t>
            </w:r>
          </w:p>
        </w:tc>
        <w:tc>
          <w:tcPr>
            <w:tcW w:type="dxa" w:w="2160"/>
            <w:shd w:fill="003366"/>
          </w:tcPr>
          <w:p>
            <w:r>
              <w:rPr>
                <w:b/>
                <w:color w:val="FFFFFF"/>
              </w:rPr>
              <w:t>Metric</w:t>
            </w:r>
          </w:p>
        </w:tc>
        <w:tc>
          <w:tcPr>
            <w:tcW w:type="dxa" w:w="2160"/>
            <w:shd w:fill="003366"/>
          </w:tcPr>
          <w:p>
            <w:r>
              <w:rPr>
                <w:b/>
                <w:color w:val="FFFFFF"/>
              </w:rPr>
              <w:t>Score</w:t>
            </w:r>
          </w:p>
        </w:tc>
        <w:tc>
          <w:tcPr>
            <w:tcW w:type="dxa" w:w="2160"/>
            <w:shd w:fill="003366"/>
          </w:tcPr>
          <w:p>
            <w:r>
              <w:rPr>
                <w:b/>
                <w:color w:val="FFFFFF"/>
              </w:rPr>
              <w:t>Source</w:t>
            </w:r>
          </w:p>
        </w:tc>
      </w:tr>
      <w:tr>
        <w:tc>
          <w:tcPr>
            <w:tcW w:type="dxa" w:w="2160"/>
            <w:shd w:fill="F2F2F2"/>
          </w:tcPr>
          <w:p>
            <w:r>
              <w:t>Stacking Ensemble</w:t>
            </w:r>
          </w:p>
        </w:tc>
        <w:tc>
          <w:tcPr>
            <w:tcW w:type="dxa" w:w="2160"/>
            <w:shd w:fill="F2F2F2"/>
          </w:tcPr>
          <w:p>
            <w:r>
              <w:t>AUC-ROC</w:t>
            </w:r>
          </w:p>
        </w:tc>
        <w:tc>
          <w:tcPr>
            <w:tcW w:type="dxa" w:w="2160"/>
            <w:shd w:fill="F2F2F2"/>
          </w:tcPr>
          <w:p>
            <w:r>
              <w:t>0.9887</w:t>
            </w:r>
          </w:p>
        </w:tc>
        <w:tc>
          <w:tcPr>
            <w:tcW w:type="dxa" w:w="2160"/>
            <w:shd w:fill="F2F2F2"/>
          </w:tcPr>
          <w:p>
            <w:r>
              <w:t>(PMC, 2025)</w:t>
            </w:r>
          </w:p>
        </w:tc>
      </w:tr>
      <w:tr>
        <w:tc>
          <w:tcPr>
            <w:tcW w:type="dxa" w:w="2160"/>
          </w:tcPr>
          <w:p>
            <w:r>
              <w:t>Random Forest + SMOTE</w:t>
            </w:r>
          </w:p>
        </w:tc>
        <w:tc>
          <w:tcPr>
            <w:tcW w:type="dxa" w:w="2160"/>
          </w:tcPr>
          <w:p>
            <w:r>
              <w:t>AUPRC</w:t>
            </w:r>
          </w:p>
        </w:tc>
        <w:tc>
          <w:tcPr>
            <w:tcW w:type="dxa" w:w="2160"/>
          </w:tcPr>
          <w:p>
            <w:r>
              <w:t>0.871</w:t>
            </w:r>
          </w:p>
        </w:tc>
        <w:tc>
          <w:tcPr>
            <w:tcW w:type="dxa" w:w="2160"/>
          </w:tcPr>
          <w:p>
            <w:r>
              <w:t>(IIETA, 2024)</w:t>
            </w:r>
          </w:p>
        </w:tc>
      </w:tr>
      <w:tr>
        <w:tc>
          <w:tcPr>
            <w:tcW w:type="dxa" w:w="2160"/>
            <w:shd w:fill="F2F2F2"/>
          </w:tcPr>
          <w:p>
            <w:r>
              <w:t>XGBoost + SMOTE</w:t>
            </w:r>
          </w:p>
        </w:tc>
        <w:tc>
          <w:tcPr>
            <w:tcW w:type="dxa" w:w="2160"/>
            <w:shd w:fill="F2F2F2"/>
          </w:tcPr>
          <w:p>
            <w:r>
              <w:t>AUPRC</w:t>
            </w:r>
          </w:p>
        </w:tc>
        <w:tc>
          <w:tcPr>
            <w:tcW w:type="dxa" w:w="2160"/>
            <w:shd w:fill="F2F2F2"/>
          </w:tcPr>
          <w:p>
            <w:r>
              <w:t>0.867</w:t>
            </w:r>
          </w:p>
        </w:tc>
        <w:tc>
          <w:tcPr>
            <w:tcW w:type="dxa" w:w="2160"/>
            <w:shd w:fill="F2F2F2"/>
          </w:tcPr>
          <w:p>
            <w:r>
              <w:t>(IIETA, 2024)</w:t>
            </w:r>
          </w:p>
        </w:tc>
      </w:tr>
      <w:tr>
        <w:tc>
          <w:tcPr>
            <w:tcW w:type="dxa" w:w="2160"/>
          </w:tcPr>
          <w:p>
            <w:r>
              <w:t>Hybrid XRAI Ensemble</w:t>
            </w:r>
          </w:p>
        </w:tc>
        <w:tc>
          <w:tcPr>
            <w:tcW w:type="dxa" w:w="2160"/>
          </w:tcPr>
          <w:p>
            <w:r>
              <w:t>F1-Score</w:t>
            </w:r>
          </w:p>
        </w:tc>
        <w:tc>
          <w:tcPr>
            <w:tcW w:type="dxa" w:w="2160"/>
          </w:tcPr>
          <w:p>
            <w:r>
              <w:t>0.9407</w:t>
            </w:r>
          </w:p>
        </w:tc>
        <w:tc>
          <w:tcPr>
            <w:tcW w:type="dxa" w:w="2160"/>
          </w:tcPr>
          <w:p>
            <w:r>
              <w:t>(F1000Research, 2025)</w:t>
            </w:r>
          </w:p>
        </w:tc>
      </w:tr>
      <w:tr>
        <w:tc>
          <w:tcPr>
            <w:tcW w:type="dxa" w:w="2160"/>
            <w:shd w:fill="F2F2F2"/>
          </w:tcPr>
          <w:p>
            <w:r>
              <w:t>CatBoost</w:t>
            </w:r>
          </w:p>
        </w:tc>
        <w:tc>
          <w:tcPr>
            <w:tcW w:type="dxa" w:w="2160"/>
            <w:shd w:fill="F2F2F2"/>
          </w:tcPr>
          <w:p>
            <w:r>
              <w:t>F1-Score</w:t>
            </w:r>
          </w:p>
        </w:tc>
        <w:tc>
          <w:tcPr>
            <w:tcW w:type="dxa" w:w="2160"/>
            <w:shd w:fill="F2F2F2"/>
          </w:tcPr>
          <w:p>
            <w:r>
              <w:t>0.8636</w:t>
            </w:r>
          </w:p>
        </w:tc>
        <w:tc>
          <w:tcPr>
            <w:tcW w:type="dxa" w:w="2160"/>
            <w:shd w:fill="F2F2F2"/>
          </w:tcPr>
          <w:p>
            <w:r>
              <w:t>(PMC, 2025)</w:t>
            </w:r>
          </w:p>
        </w:tc>
      </w:tr>
    </w:tbl>
    <w:p/>
    <w:p>
      <w:r>
        <w:t>Quantum ML Results (Published Research):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Approach</w:t>
            </w:r>
          </w:p>
        </w:tc>
        <w:tc>
          <w:tcPr>
            <w:tcW w:type="dxa" w:w="2160"/>
            <w:shd w:fill="003366"/>
          </w:tcPr>
          <w:p>
            <w:r>
              <w:rPr>
                <w:b/>
                <w:color w:val="FFFFFF"/>
              </w:rPr>
              <w:t>Metric</w:t>
            </w:r>
          </w:p>
        </w:tc>
        <w:tc>
          <w:tcPr>
            <w:tcW w:type="dxa" w:w="2160"/>
            <w:shd w:fill="003366"/>
          </w:tcPr>
          <w:p>
            <w:r>
              <w:rPr>
                <w:b/>
                <w:color w:val="FFFFFF"/>
              </w:rPr>
              <w:t>Score</w:t>
            </w:r>
          </w:p>
        </w:tc>
        <w:tc>
          <w:tcPr>
            <w:tcW w:type="dxa" w:w="2160"/>
            <w:shd w:fill="003366"/>
          </w:tcPr>
          <w:p>
            <w:r>
              <w:rPr>
                <w:b/>
                <w:color w:val="FFFFFF"/>
              </w:rPr>
              <w:t>Source</w:t>
            </w:r>
          </w:p>
        </w:tc>
      </w:tr>
      <w:tr>
        <w:tc>
          <w:tcPr>
            <w:tcW w:type="dxa" w:w="2160"/>
            <w:shd w:fill="F2F2F2"/>
          </w:tcPr>
          <w:p>
            <w:r>
              <w:t>VQC (Z + Pauli Two Design)</w:t>
            </w:r>
          </w:p>
        </w:tc>
        <w:tc>
          <w:tcPr>
            <w:tcW w:type="dxa" w:w="2160"/>
            <w:shd w:fill="F2F2F2"/>
          </w:tcPr>
          <w:p>
            <w:r>
              <w:t>F1-Score</w:t>
            </w:r>
          </w:p>
        </w:tc>
        <w:tc>
          <w:tcPr>
            <w:tcW w:type="dxa" w:w="2160"/>
            <w:shd w:fill="F2F2F2"/>
          </w:tcPr>
          <w:p>
            <w:r>
              <w:t>0.88</w:t>
            </w:r>
          </w:p>
        </w:tc>
        <w:tc>
          <w:tcPr>
            <w:tcW w:type="dxa" w:w="2160"/>
            <w:shd w:fill="F2F2F2"/>
          </w:tcPr>
          <w:p>
            <w:r>
              <w:t>(Karimi et al., 2024)</w:t>
            </w:r>
          </w:p>
        </w:tc>
      </w:tr>
      <w:tr>
        <w:tc>
          <w:tcPr>
            <w:tcW w:type="dxa" w:w="2160"/>
          </w:tcPr>
          <w:p>
            <w:r>
              <w:t>QSVC</w:t>
            </w:r>
          </w:p>
        </w:tc>
        <w:tc>
          <w:tcPr>
            <w:tcW w:type="dxa" w:w="2160"/>
          </w:tcPr>
          <w:p>
            <w:r>
              <w:t>F1-Score</w:t>
            </w:r>
          </w:p>
        </w:tc>
        <w:tc>
          <w:tcPr>
            <w:tcW w:type="dxa" w:w="2160"/>
          </w:tcPr>
          <w:p>
            <w:r>
              <w:t>0.98</w:t>
            </w:r>
          </w:p>
        </w:tc>
        <w:tc>
          <w:tcPr>
            <w:tcW w:type="dxa" w:w="2160"/>
          </w:tcPr>
          <w:p>
            <w:r>
              <w:t>(Innan et al., 2023)</w:t>
            </w:r>
          </w:p>
        </w:tc>
      </w:tr>
      <w:tr>
        <w:tc>
          <w:tcPr>
            <w:tcW w:type="dxa" w:w="2160"/>
            <w:shd w:fill="F2F2F2"/>
          </w:tcPr>
          <w:p>
            <w:r>
              <w:t>Hybrid Quantum LSTM</w:t>
            </w:r>
          </w:p>
        </w:tc>
        <w:tc>
          <w:tcPr>
            <w:tcW w:type="dxa" w:w="2160"/>
            <w:shd w:fill="F2F2F2"/>
          </w:tcPr>
          <w:p>
            <w:r>
              <w:t>Accuracy</w:t>
            </w:r>
          </w:p>
        </w:tc>
        <w:tc>
          <w:tcPr>
            <w:tcW w:type="dxa" w:w="2160"/>
            <w:shd w:fill="F2F2F2"/>
          </w:tcPr>
          <w:p>
            <w:r>
              <w:t>98.38%</w:t>
            </w:r>
          </w:p>
        </w:tc>
        <w:tc>
          <w:tcPr>
            <w:tcW w:type="dxa" w:w="2160"/>
            <w:shd w:fill="F2F2F2"/>
          </w:tcPr>
          <w:p>
            <w:r>
              <w:t>(arXiv:2505.00137, 2025)</w:t>
            </w:r>
          </w:p>
        </w:tc>
      </w:tr>
      <w:tr>
        <w:tc>
          <w:tcPr>
            <w:tcW w:type="dxa" w:w="2160"/>
          </w:tcPr>
          <w:p>
            <w:r>
              <w:t>Hybrid QNN (Deloitte + AWS)</w:t>
            </w:r>
          </w:p>
        </w:tc>
        <w:tc>
          <w:tcPr>
            <w:tcW w:type="dxa" w:w="2160"/>
          </w:tcPr>
          <w:p>
            <w:r>
              <w:t>Precision</w:t>
            </w:r>
          </w:p>
        </w:tc>
        <w:tc>
          <w:tcPr>
            <w:tcW w:type="dxa" w:w="2160"/>
          </w:tcPr>
          <w:p>
            <w:r>
              <w:t>0.87</w:t>
            </w:r>
          </w:p>
        </w:tc>
        <w:tc>
          <w:tcPr>
            <w:tcW w:type="dxa" w:w="2160"/>
          </w:tcPr>
          <w:p>
            <w:r>
              <w:t>(Deloitte + AWS, 2024)</w:t>
            </w:r>
          </w:p>
        </w:tc>
      </w:tr>
      <w:tr>
        <w:tc>
          <w:tcPr>
            <w:tcW w:type="dxa" w:w="2160"/>
            <w:shd w:fill="F2F2F2"/>
          </w:tcPr>
          <w:p>
            <w:r>
              <w:t>QSVM (CERN/IBM, real hardware)</w:t>
            </w:r>
          </w:p>
        </w:tc>
        <w:tc>
          <w:tcPr>
            <w:tcW w:type="dxa" w:w="2160"/>
            <w:shd w:fill="F2F2F2"/>
          </w:tcPr>
          <w:p>
            <w:r>
              <w:t>Accuracy</w:t>
            </w:r>
          </w:p>
        </w:tc>
        <w:tc>
          <w:tcPr>
            <w:tcW w:type="dxa" w:w="2160"/>
            <w:shd w:fill="F2F2F2"/>
          </w:tcPr>
          <w:p>
            <w:r>
              <w:t>0.789</w:t>
            </w:r>
          </w:p>
        </w:tc>
        <w:tc>
          <w:tcPr>
            <w:tcW w:type="dxa" w:w="2160"/>
            <w:shd w:fill="F2F2F2"/>
          </w:tcPr>
          <w:p>
            <w:r>
              <w:t>(Grossi et al., 2022)</w:t>
            </w:r>
          </w:p>
        </w:tc>
      </w:tr>
    </w:tbl>
    <w:p/>
    <w:p>
      <w:r>
        <w:t>Participants are encouraged to benchmark against these published results and clearly report comparison methodology.</w:t>
      </w:r>
    </w:p>
    <w:p>
      <w:pPr>
        <w:pStyle w:val="Heading3"/>
      </w:pPr>
      <w:r>
        <w:t>4.2 Secondary Objectives</w:t>
      </w:r>
    </w:p>
    <w:p>
      <w:pPr>
        <w:pStyle w:val="ListNumber"/>
      </w:pPr>
      <w:r>
        <w:t>Quantum Improvement Exploration</w:t>
      </w:r>
    </w:p>
    <w:p>
      <w:pPr>
        <w:pStyle w:val="ListBullet"/>
      </w:pPr>
      <w:r>
        <w:t>Explore and document areas where quantum or quantum-inspired methods offer measurable improvement over tuned classical baselines</w:t>
      </w:r>
    </w:p>
    <w:p>
      <w:pPr>
        <w:pStyle w:val="ListBullet"/>
      </w:pPr>
      <w:r>
        <w:t>Characterize under what conditions (feature sets, data subsets, encoding strategies) quantum approaches perform differently</w:t>
      </w:r>
    </w:p>
    <w:p>
      <w:pPr>
        <w:pStyle w:val="ListNumber"/>
      </w:pPr>
      <w:r>
        <w:t>Hardware Execution</w:t>
      </w:r>
    </w:p>
    <w:p>
      <w:pPr>
        <w:pStyle w:val="ListBullet"/>
      </w:pPr>
      <w:r>
        <w:t>Execution on real quantum hardware through Amazon Braket is encouraged, building on precedents such as Deloitte Italy's hybrid QNN fraud detection pipeline on Amazon Braket (Deloitte + AWS, 2024) and Grossi et al.'s QSVM on IBM quantum hardware (Grossi et al., 2022)</w:t>
      </w:r>
    </w:p>
    <w:p>
      <w:pPr>
        <w:pStyle w:val="ListBullet"/>
      </w:pPr>
      <w:r>
        <w:t>Documentation of hardware-specific considerations — including noise characteristics, error mitigation strategies, and performance compared to simulator results — is valued</w:t>
      </w:r>
    </w:p>
    <w:p>
      <w:pPr>
        <w:pStyle w:val="ListNumber"/>
      </w:pPr>
      <w:r>
        <w:t>Explainability</w:t>
      </w:r>
    </w:p>
    <w:p>
      <w:pPr>
        <w:pStyle w:val="ListBullet"/>
      </w:pPr>
      <w:r>
        <w:t>Ability to explain individual predictions through feature contribution analysis or similar techniques</w:t>
      </w:r>
    </w:p>
    <w:p>
      <w:pPr>
        <w:pStyle w:val="ListBullet"/>
      </w:pPr>
      <w:r>
        <w:t>Consideration of how results could support enterprise decision-making and model governance</w:t>
      </w:r>
    </w:p>
    <w:p>
      <w:pPr>
        <w:pStyle w:val="ListNumber"/>
      </w:pPr>
      <w:r>
        <w:t>Robustness Considerations</w:t>
      </w:r>
    </w:p>
    <w:p>
      <w:pPr>
        <w:pStyle w:val="ListBullet"/>
      </w:pPr>
      <w:r>
        <w:t>Performance consistency across different fraud types and data partitions</w:t>
      </w:r>
    </w:p>
    <w:p>
      <w:pPr>
        <w:pStyle w:val="ListBullet"/>
      </w:pPr>
      <w:r>
        <w:t>Behavior under distribution shift (e.g., temporal train/test splits)</w:t>
      </w:r>
    </w:p>
    <w:p>
      <w:r>
        <w:t>__________________________________________________</w:t>
      </w:r>
    </w:p>
    <w:p>
      <w:pPr>
        <w:pStyle w:val="Heading2"/>
      </w:pPr>
      <w:r>
        <w:t>5. Problem Definition</w:t>
      </w:r>
    </w:p>
    <w:p>
      <w:pPr>
        <w:pStyle w:val="Heading3"/>
      </w:pPr>
      <w:r>
        <w:t>5.1 Inputs</w:t>
      </w:r>
    </w:p>
    <w:p>
      <w:r>
        <w:t>Primary Dataset: IEEE-CIS Fraud Detection Dataset</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rPr>
              <w:t>Attribute</w:t>
            </w:r>
          </w:p>
        </w:tc>
        <w:tc>
          <w:tcPr>
            <w:tcW w:type="dxa" w:w="4320"/>
            <w:shd w:fill="003366"/>
          </w:tcPr>
          <w:p>
            <w:r>
              <w:rPr>
                <w:b/>
                <w:color w:val="FFFFFF"/>
              </w:rPr>
              <w:t>Specification</w:t>
            </w:r>
          </w:p>
        </w:tc>
      </w:tr>
      <w:tr>
        <w:tc>
          <w:tcPr>
            <w:tcW w:type="dxa" w:w="4320"/>
            <w:shd w:fill="F2F2F2"/>
          </w:tcPr>
          <w:p>
            <w:r>
              <w:t>Source</w:t>
            </w:r>
          </w:p>
        </w:tc>
        <w:tc>
          <w:tcPr>
            <w:tcW w:type="dxa" w:w="4320"/>
            <w:shd w:fill="F2F2F2"/>
          </w:tcPr>
          <w:p>
            <w:r>
              <w:t>Vesta Corporation via Kaggle (2019)</w:t>
            </w:r>
          </w:p>
        </w:tc>
      </w:tr>
      <w:tr>
        <w:tc>
          <w:tcPr>
            <w:tcW w:type="dxa" w:w="4320"/>
          </w:tcPr>
          <w:p>
            <w:r>
              <w:t>Competition</w:t>
            </w:r>
          </w:p>
        </w:tc>
        <w:tc>
          <w:tcPr>
            <w:tcW w:type="dxa" w:w="4320"/>
          </w:tcPr>
          <w:p>
            <w:r>
              <w:t>6,381 teams, 7,400+ competitors from 104 countries (Kaggle, 2019)</w:t>
            </w:r>
          </w:p>
        </w:tc>
      </w:tr>
      <w:tr>
        <w:tc>
          <w:tcPr>
            <w:tcW w:type="dxa" w:w="4320"/>
            <w:shd w:fill="F2F2F2"/>
          </w:tcPr>
          <w:p>
            <w:r>
              <w:t>Training Set</w:t>
            </w:r>
          </w:p>
        </w:tc>
        <w:tc>
          <w:tcPr>
            <w:tcW w:type="dxa" w:w="4320"/>
            <w:shd w:fill="F2F2F2"/>
          </w:tcPr>
          <w:p>
            <w:r>
              <w:t>590,540 transactions</w:t>
            </w:r>
          </w:p>
        </w:tc>
      </w:tr>
      <w:tr>
        <w:tc>
          <w:tcPr>
            <w:tcW w:type="dxa" w:w="4320"/>
          </w:tcPr>
          <w:p>
            <w:r>
              <w:t>Test Set</w:t>
            </w:r>
          </w:p>
        </w:tc>
        <w:tc>
          <w:tcPr>
            <w:tcW w:type="dxa" w:w="4320"/>
          </w:tcPr>
          <w:p>
            <w:r>
              <w:t>506,691 transactions</w:t>
            </w:r>
          </w:p>
        </w:tc>
      </w:tr>
      <w:tr>
        <w:tc>
          <w:tcPr>
            <w:tcW w:type="dxa" w:w="4320"/>
            <w:shd w:fill="F2F2F2"/>
          </w:tcPr>
          <w:p>
            <w:r>
              <w:t>Features</w:t>
            </w:r>
          </w:p>
        </w:tc>
        <w:tc>
          <w:tcPr>
            <w:tcW w:type="dxa" w:w="4320"/>
            <w:shd w:fill="F2F2F2"/>
          </w:tcPr>
          <w:p>
            <w:r>
              <w:t>Up to 393 features (typically reduced via engineering)</w:t>
            </w:r>
          </w:p>
        </w:tc>
      </w:tr>
      <w:tr>
        <w:tc>
          <w:tcPr>
            <w:tcW w:type="dxa" w:w="4320"/>
          </w:tcPr>
          <w:p>
            <w:r>
              <w:t>Fraud Rate</w:t>
            </w:r>
          </w:p>
        </w:tc>
        <w:tc>
          <w:tcPr>
            <w:tcW w:type="dxa" w:w="4320"/>
          </w:tcPr>
          <w:p>
            <w:r>
              <w:t>3.5% (training set)</w:t>
            </w:r>
          </w:p>
        </w:tc>
      </w:tr>
      <w:tr>
        <w:tc>
          <w:tcPr>
            <w:tcW w:type="dxa" w:w="4320"/>
            <w:shd w:fill="F2F2F2"/>
          </w:tcPr>
          <w:p>
            <w:r>
              <w:t>Format</w:t>
            </w:r>
          </w:p>
        </w:tc>
        <w:tc>
          <w:tcPr>
            <w:tcW w:type="dxa" w:w="4320"/>
            <w:shd w:fill="F2F2F2"/>
          </w:tcPr>
          <w:p>
            <w:r>
              <w:t>CSV</w:t>
            </w:r>
          </w:p>
        </w:tc>
      </w:tr>
    </w:tbl>
    <w:p/>
    <w:p>
      <w:r>
        <w:t>Feature Categories:</w:t>
      </w:r>
    </w:p>
    <w:p>
      <w:pPr>
        <w:pStyle w:val="ListBullet"/>
      </w:pPr>
      <w:r>
        <w:t>Transaction Features: TransactionDT, TransactionAmt, ProductCD</w:t>
      </w:r>
    </w:p>
    <w:p>
      <w:pPr>
        <w:pStyle w:val="ListBullet"/>
      </w:pPr>
      <w:r>
        <w:t>Card Features: card1–card6 (anonymized card attributes)</w:t>
      </w:r>
    </w:p>
    <w:p>
      <w:pPr>
        <w:pStyle w:val="ListBullet"/>
      </w:pPr>
      <w:r>
        <w:t>Address Features: addr1, addr2 (billing/shipping match indicators)</w:t>
      </w:r>
    </w:p>
    <w:p>
      <w:pPr>
        <w:pStyle w:val="ListBullet"/>
      </w:pPr>
      <w:r>
        <w:t>Email Features: P_emaildomain, R_emaildomain</w:t>
      </w:r>
    </w:p>
    <w:p>
      <w:pPr>
        <w:pStyle w:val="ListBullet"/>
      </w:pPr>
      <w:r>
        <w:t>Device Features: DeviceType, DeviceInfo</w:t>
      </w:r>
    </w:p>
    <w:p>
      <w:pPr>
        <w:pStyle w:val="ListBullet"/>
      </w:pPr>
      <w:r>
        <w:t>Identity Features: id_01–id_38 (identity verification signals)</w:t>
      </w:r>
    </w:p>
    <w:p>
      <w:pPr>
        <w:pStyle w:val="ListBullet"/>
      </w:pPr>
      <w:r>
        <w:t>Vesta Features: V1–V339 (proprietary engineered features)</w:t>
      </w:r>
    </w:p>
    <w:p>
      <w:r>
        <w:t>Secondary Dataset: European Cardholder Dataset (ULB)</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rPr>
              <w:t>Attribute</w:t>
            </w:r>
          </w:p>
        </w:tc>
        <w:tc>
          <w:tcPr>
            <w:tcW w:type="dxa" w:w="4320"/>
            <w:shd w:fill="003366"/>
          </w:tcPr>
          <w:p>
            <w:r>
              <w:rPr>
                <w:b/>
                <w:color w:val="FFFFFF"/>
              </w:rPr>
              <w:t>Specification</w:t>
            </w:r>
          </w:p>
        </w:tc>
      </w:tr>
      <w:tr>
        <w:tc>
          <w:tcPr>
            <w:tcW w:type="dxa" w:w="4320"/>
            <w:shd w:fill="F2F2F2"/>
          </w:tcPr>
          <w:p>
            <w:r>
              <w:t>Source</w:t>
            </w:r>
          </w:p>
        </w:tc>
        <w:tc>
          <w:tcPr>
            <w:tcW w:type="dxa" w:w="4320"/>
            <w:shd w:fill="F2F2F2"/>
          </w:tcPr>
          <w:p>
            <w:r>
              <w:t>Machine Learning Group, Université Libre de Bruxelles (2013)</w:t>
            </w:r>
          </w:p>
        </w:tc>
      </w:tr>
      <w:tr>
        <w:tc>
          <w:tcPr>
            <w:tcW w:type="dxa" w:w="4320"/>
          </w:tcPr>
          <w:p>
            <w:r>
              <w:t>Size</w:t>
            </w:r>
          </w:p>
        </w:tc>
        <w:tc>
          <w:tcPr>
            <w:tcW w:type="dxa" w:w="4320"/>
          </w:tcPr>
          <w:p>
            <w:r>
              <w:t>284,807 transactions (2 days, September 2013)</w:t>
            </w:r>
          </w:p>
        </w:tc>
      </w:tr>
      <w:tr>
        <w:tc>
          <w:tcPr>
            <w:tcW w:type="dxa" w:w="4320"/>
            <w:shd w:fill="F2F2F2"/>
          </w:tcPr>
          <w:p>
            <w:r>
              <w:t>Features</w:t>
            </w:r>
          </w:p>
        </w:tc>
        <w:tc>
          <w:tcPr>
            <w:tcW w:type="dxa" w:w="4320"/>
            <w:shd w:fill="F2F2F2"/>
          </w:tcPr>
          <w:p>
            <w:r>
              <w:t>30 (28 PCA-transformed + Time + Amount)</w:t>
            </w:r>
          </w:p>
        </w:tc>
      </w:tr>
      <w:tr>
        <w:tc>
          <w:tcPr>
            <w:tcW w:type="dxa" w:w="4320"/>
          </w:tcPr>
          <w:p>
            <w:r>
              <w:t>Fraud Rate</w:t>
            </w:r>
          </w:p>
        </w:tc>
        <w:tc>
          <w:tcPr>
            <w:tcW w:type="dxa" w:w="4320"/>
          </w:tcPr>
          <w:p>
            <w:r>
              <w:t>0.172% (492 frauds)</w:t>
            </w:r>
          </w:p>
        </w:tc>
      </w:tr>
      <w:tr>
        <w:tc>
          <w:tcPr>
            <w:tcW w:type="dxa" w:w="4320"/>
            <w:shd w:fill="F2F2F2"/>
          </w:tcPr>
          <w:p>
            <w:r>
              <w:t>Format</w:t>
            </w:r>
          </w:p>
        </w:tc>
        <w:tc>
          <w:tcPr>
            <w:tcW w:type="dxa" w:w="4320"/>
            <w:shd w:fill="F2F2F2"/>
          </w:tcPr>
          <w:p>
            <w:r>
              <w:t>CSV</w:t>
            </w:r>
          </w:p>
        </w:tc>
      </w:tr>
      <w:tr>
        <w:tc>
          <w:tcPr>
            <w:tcW w:type="dxa" w:w="4320"/>
          </w:tcPr>
          <w:p>
            <w:r>
              <w:t>License</w:t>
            </w:r>
          </w:p>
        </w:tc>
        <w:tc>
          <w:tcPr>
            <w:tcW w:type="dxa" w:w="4320"/>
          </w:tcPr>
          <w:p>
            <w:r>
              <w:t>Open Database License (ODbL)</w:t>
            </w:r>
          </w:p>
        </w:tc>
      </w:tr>
    </w:tbl>
    <w:p/>
    <w:p>
      <w:r>
        <w:t>The dataset authors specifically recommend AUPRC as the primary evaluation metric due to the severe class imbalance (Dal Pozzolo et al., 2015).</w:t>
      </w:r>
    </w:p>
    <w:p>
      <w:r>
        <w:t>Tertiary Dataset: Sparkov Synthetic Transactions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rPr>
              <w:t>Attribute</w:t>
            </w:r>
          </w:p>
        </w:tc>
        <w:tc>
          <w:tcPr>
            <w:tcW w:type="dxa" w:w="4320"/>
            <w:shd w:fill="003366"/>
          </w:tcPr>
          <w:p>
            <w:r>
              <w:rPr>
                <w:b/>
                <w:color w:val="FFFFFF"/>
              </w:rPr>
              <w:t>Specification</w:t>
            </w:r>
          </w:p>
        </w:tc>
      </w:tr>
      <w:tr>
        <w:tc>
          <w:tcPr>
            <w:tcW w:type="dxa" w:w="4320"/>
            <w:shd w:fill="F2F2F2"/>
          </w:tcPr>
          <w:p>
            <w:r>
              <w:t>Source</w:t>
            </w:r>
          </w:p>
        </w:tc>
        <w:tc>
          <w:tcPr>
            <w:tcW w:type="dxa" w:w="4320"/>
            <w:shd w:fill="F2F2F2"/>
          </w:tcPr>
          <w:p>
            <w:r>
              <w:t>Kaggle (Sparkov Data Science)</w:t>
            </w:r>
          </w:p>
        </w:tc>
      </w:tr>
      <w:tr>
        <w:tc>
          <w:tcPr>
            <w:tcW w:type="dxa" w:w="4320"/>
          </w:tcPr>
          <w:p>
            <w:r>
              <w:t>Size</w:t>
            </w:r>
          </w:p>
        </w:tc>
        <w:tc>
          <w:tcPr>
            <w:tcW w:type="dxa" w:w="4320"/>
          </w:tcPr>
          <w:p>
            <w:r>
              <w:t>1.3M+ transactions</w:t>
            </w:r>
          </w:p>
        </w:tc>
      </w:tr>
      <w:tr>
        <w:tc>
          <w:tcPr>
            <w:tcW w:type="dxa" w:w="4320"/>
            <w:shd w:fill="F2F2F2"/>
          </w:tcPr>
          <w:p>
            <w:r>
              <w:t>Features</w:t>
            </w:r>
          </w:p>
        </w:tc>
        <w:tc>
          <w:tcPr>
            <w:tcW w:type="dxa" w:w="4320"/>
            <w:shd w:fill="F2F2F2"/>
          </w:tcPr>
          <w:p>
            <w:r>
              <w:t>Transaction details, merchant, category, customer demographics, geographic information</w:t>
            </w:r>
          </w:p>
        </w:tc>
      </w:tr>
      <w:tr>
        <w:tc>
          <w:tcPr>
            <w:tcW w:type="dxa" w:w="4320"/>
          </w:tcPr>
          <w:p>
            <w:r>
              <w:t>Format</w:t>
            </w:r>
          </w:p>
        </w:tc>
        <w:tc>
          <w:tcPr>
            <w:tcW w:type="dxa" w:w="4320"/>
          </w:tcPr>
          <w:p>
            <w:r>
              <w:t>CSV</w:t>
            </w:r>
          </w:p>
        </w:tc>
      </w:tr>
      <w:tr>
        <w:tc>
          <w:tcPr>
            <w:tcW w:type="dxa" w:w="4320"/>
            <w:shd w:fill="F2F2F2"/>
          </w:tcPr>
          <w:p>
            <w:r>
              <w:t>License</w:t>
            </w:r>
          </w:p>
        </w:tc>
        <w:tc>
          <w:tcPr>
            <w:tcW w:type="dxa" w:w="4320"/>
            <w:shd w:fill="F2F2F2"/>
          </w:tcPr>
          <w:p>
            <w:r>
              <w:t>Open</w:t>
            </w:r>
          </w:p>
        </w:tc>
      </w:tr>
    </w:tbl>
    <w:p/>
    <w:p>
      <w:r>
        <w:t>Synthetic data is useful for stress-testing models at scale and for controlled experiments where ground truth is fully known.</w:t>
      </w:r>
    </w:p>
    <w:p>
      <w:pPr>
        <w:pStyle w:val="Heading3"/>
      </w:pPr>
      <w:r>
        <w:t>5.2 Outputs</w:t>
      </w:r>
    </w:p>
    <w:p>
      <w:r>
        <w:t>Expected Outputs: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Output</w:t>
            </w:r>
          </w:p>
        </w:tc>
        <w:tc>
          <w:tcPr>
            <w:tcW w:type="dxa" w:w="2880"/>
            <w:shd w:fill="003366"/>
          </w:tcPr>
          <w:p>
            <w:r>
              <w:rPr>
                <w:b/>
                <w:color w:val="FFFFFF"/>
              </w:rPr>
              <w:t>Format</w:t>
            </w:r>
          </w:p>
        </w:tc>
        <w:tc>
          <w:tcPr>
            <w:tcW w:type="dxa" w:w="2880"/>
            <w:shd w:fill="003366"/>
          </w:tcPr>
          <w:p>
            <w:r>
              <w:rPr>
                <w:b/>
                <w:color w:val="FFFFFF"/>
              </w:rPr>
              <w:t>Description</w:t>
            </w:r>
          </w:p>
        </w:tc>
      </w:tr>
      <w:tr>
        <w:tc>
          <w:tcPr>
            <w:tcW w:type="dxa" w:w="2880"/>
            <w:shd w:fill="F2F2F2"/>
          </w:tcPr>
          <w:p>
            <w:r>
              <w:t>**Fraud Probability**</w:t>
            </w:r>
          </w:p>
        </w:tc>
        <w:tc>
          <w:tcPr>
            <w:tcW w:type="dxa" w:w="2880"/>
            <w:shd w:fill="F2F2F2"/>
          </w:tcPr>
          <w:p>
            <w:r>
              <w:t>Float [0, 1]</w:t>
            </w:r>
          </w:p>
        </w:tc>
        <w:tc>
          <w:tcPr>
            <w:tcW w:type="dxa" w:w="2880"/>
            <w:shd w:fill="F2F2F2"/>
          </w:tcPr>
          <w:p>
            <w:r>
              <w:t>Continuous score for each transaction</w:t>
            </w:r>
          </w:p>
        </w:tc>
      </w:tr>
      <w:tr>
        <w:tc>
          <w:tcPr>
            <w:tcW w:type="dxa" w:w="2880"/>
          </w:tcPr>
          <w:p>
            <w:r>
              <w:t>**Binary Prediction**</w:t>
            </w:r>
          </w:p>
        </w:tc>
        <w:tc>
          <w:tcPr>
            <w:tcW w:type="dxa" w:w="2880"/>
          </w:tcPr>
          <w:p>
            <w:r>
              <w:t>Integer {0, 1}</w:t>
            </w:r>
          </w:p>
        </w:tc>
        <w:tc>
          <w:tcPr>
            <w:tcW w:type="dxa" w:w="2880"/>
          </w:tcPr>
          <w:p>
            <w:r>
              <w:t>Threshold-based classification</w:t>
            </w:r>
          </w:p>
        </w:tc>
      </w:tr>
      <w:tr>
        <w:tc>
          <w:tcPr>
            <w:tcW w:type="dxa" w:w="2880"/>
            <w:shd w:fill="F2F2F2"/>
          </w:tcPr>
          <w:p>
            <w:r>
              <w:t>**Feature Attribution**</w:t>
            </w:r>
          </w:p>
        </w:tc>
        <w:tc>
          <w:tcPr>
            <w:tcW w:type="dxa" w:w="2880"/>
            <w:shd w:fill="F2F2F2"/>
          </w:tcPr>
          <w:p>
            <w:r>
              <w:t>Vector or ranked list</w:t>
            </w:r>
          </w:p>
        </w:tc>
        <w:tc>
          <w:tcPr>
            <w:tcW w:type="dxa" w:w="2880"/>
            <w:shd w:fill="F2F2F2"/>
          </w:tcPr>
          <w:p>
            <w:r>
              <w:t>Contribution of features to each prediction</w:t>
            </w:r>
          </w:p>
        </w:tc>
      </w:tr>
    </w:tbl>
    <w:p/>
    <w:p>
      <w:r>
        <w:t>Reporting Considerations:</w:t>
      </w:r>
    </w:p>
    <w:p>
      <w:pPr>
        <w:pStyle w:val="ListBullet"/>
      </w:pPr>
      <w:r>
        <w:t>Evaluation metrics on held-out test set (AUC-ROC, AUPRC, F1-Score, Precision, Recall)</w:t>
      </w:r>
    </w:p>
    <w:p>
      <w:pPr>
        <w:pStyle w:val="ListBullet"/>
      </w:pPr>
      <w:r>
        <w:t>Comparison with at least one classical baseline</w:t>
      </w:r>
    </w:p>
    <w:p>
      <w:pPr>
        <w:pStyle w:val="ListBullet"/>
      </w:pPr>
      <w:r>
        <w:t>Description of quantum approach, encoding strategy, and circuit design choices</w:t>
      </w:r>
    </w:p>
    <w:p>
      <w:pPr>
        <w:pStyle w:val="ListBullet"/>
      </w:pPr>
      <w:r>
        <w:t>Discussion of any observed quantum improvement and under what conditions</w:t>
      </w:r>
    </w:p>
    <w:p>
      <w:pPr>
        <w:pStyle w:val="Heading3"/>
      </w:pPr>
      <w:r>
        <w:t>5.3 Considerations</w:t>
      </w:r>
    </w:p>
    <w:p>
      <w:r>
        <w:t>Modeling Considerations:</w:t>
      </w:r>
    </w:p>
    <w:p>
      <w:pPr>
        <w:pStyle w:val="ListBullet"/>
      </w:pPr>
      <w:r>
        <w:t>Participants are encouraged to include a classical baseline for comparison (e.g., XGBoost or LightGBM, consistent with the competition state-of-art)</w:t>
      </w:r>
    </w:p>
    <w:p>
      <w:pPr>
        <w:pStyle w:val="ListBullet"/>
      </w:pPr>
      <w:r>
        <w:t>Feature selection is expected for quantum approaches, as encoding hundreds of features directly into quantum circuits is not currently practical</w:t>
      </w:r>
    </w:p>
    <w:p>
      <w:pPr>
        <w:pStyle w:val="ListBullet"/>
      </w:pPr>
      <w:r>
        <w:t>Hybrid classical-quantum pipelines are welcome and often practical</w:t>
      </w:r>
    </w:p>
    <w:p>
      <w:pPr>
        <w:pStyle w:val="ListBullet"/>
      </w:pPr>
      <w:r>
        <w:t>Handling of class imbalance should be documented (e.g., resampling, loss weighting, threshold tuning)</w:t>
      </w:r>
    </w:p>
    <w:p>
      <w:r>
        <w:t>Hardware Considerations:</w:t>
      </w:r>
    </w:p>
    <w:p>
      <w:pPr>
        <w:pStyle w:val="ListBullet"/>
      </w:pPr>
      <w:r>
        <w:t>Participants are encouraged to prototype circuits using Amazon Braket's managed simulators (SV1, TN1, DM1) before submitting jobs to quantum hardware (AWS Braket Documentation, 2025)</w:t>
      </w:r>
    </w:p>
    <w:p>
      <w:pPr>
        <w:pStyle w:val="ListBullet"/>
      </w:pPr>
      <w:r>
        <w:t>Real quantum hardware introduces noise — participants should consider error mitigation techniques such as measurement error mitigation, zero-noise extrapolation, or built-in platform features (e.g., IonQ Aria's debiasing and sharpening algorithms) (AWS Quantum Computing Blog, 2023)</w:t>
      </w:r>
    </w:p>
    <w:p>
      <w:pPr>
        <w:pStyle w:val="ListBullet"/>
      </w:pPr>
      <w:r>
        <w:t>The density matrix simulator DM1 supports noise modeling and can be used to prototype noise-aware circuits before hardware execution (AWS Braket Documentation, 2025)</w:t>
      </w:r>
    </w:p>
    <w:p>
      <w:pPr>
        <w:pStyle w:val="ListBullet"/>
      </w:pPr>
      <w:r>
        <w:t>Circuit designs should consider hardware-native gate sets and qubit connectivity to minimize transpilation overhead</w:t>
      </w:r>
    </w:p>
    <w:p>
      <w:r>
        <w:t>Explainability Considerations:</w:t>
      </w:r>
    </w:p>
    <w:p>
      <w:pPr>
        <w:pStyle w:val="ListBullet"/>
      </w:pPr>
      <w:r>
        <w:t>Feature attribution or importance analysis is valued, as enterprise deployment typically involves model governance review</w:t>
      </w:r>
    </w:p>
    <w:p>
      <w:pPr>
        <w:pStyle w:val="ListBullet"/>
      </w:pPr>
      <w:r>
        <w:t>Participants may consider techniques such as SHAP, attention weights, or circuit-level analysis</w:t>
      </w:r>
    </w:p>
    <w:p>
      <w:r>
        <w:t>Good-to-Have Metrics:</w:t>
      </w:r>
    </w:p>
    <w:p>
      <w:pPr>
        <w:pStyle w:val="ListBullet"/>
      </w:pPr>
      <w:r>
        <w:t>Inference latency benchmarks (relevant for production deployment consideration)</w:t>
      </w:r>
    </w:p>
    <w:p>
      <w:pPr>
        <w:pStyle w:val="ListBullet"/>
      </w:pPr>
      <w:r>
        <w:t>Training time comparison between quantum and classical approaches</w:t>
      </w:r>
    </w:p>
    <w:p>
      <w:pPr>
        <w:pStyle w:val="ListBullet"/>
      </w:pPr>
      <w:r>
        <w:t>Qubit count and circuit depth (useful for assessing near-term hardware feasibility)</w:t>
      </w:r>
    </w:p>
    <w:p>
      <w:pPr>
        <w:pStyle w:val="ListBullet"/>
      </w:pPr>
      <w:r>
        <w:t>Comparison of simulator vs. hardware results (documenting the impact of real device noise on model performance)</w:t>
      </w:r>
    </w:p>
    <w:p>
      <w:pPr>
        <w:pStyle w:val="Heading3"/>
      </w:pPr>
      <w:r>
        <w:t>5.4 Scope and Assumptions</w:t>
      </w:r>
    </w:p>
    <w:p>
      <w:r>
        <w:t>In Scope:</w:t>
      </w:r>
    </w:p>
    <w:p>
      <w:pPr>
        <w:pStyle w:val="ListBullet"/>
      </w:pPr>
      <w:r>
        <w:t>Card-not-present (CNP) transaction fraud detection</w:t>
      </w:r>
    </w:p>
    <w:p>
      <w:pPr>
        <w:pStyle w:val="ListBullet"/>
      </w:pPr>
      <w:r>
        <w:t>Binary classification (fraud vs. legitimate)</w:t>
      </w:r>
    </w:p>
    <w:p>
      <w:pPr>
        <w:pStyle w:val="ListBullet"/>
      </w:pPr>
      <w:r>
        <w:t>Batch processing evaluation</w:t>
      </w:r>
    </w:p>
    <w:p>
      <w:pPr>
        <w:pStyle w:val="ListBullet"/>
      </w:pPr>
      <w:r>
        <w:t>Any quantum or quantum-inspired framework (Qiskit, PennyLane, Cirq, cuQuantum, ITensor, Braket, etc.)</w:t>
      </w:r>
    </w:p>
    <w:p>
      <w:pPr>
        <w:pStyle w:val="ListBullet"/>
      </w:pPr>
      <w:r>
        <w:t>Both simulator-based and real quantum hardware execution via Amazon Braket</w:t>
      </w:r>
    </w:p>
    <w:p>
      <w:r>
        <w:t>Out of Scope:</w:t>
      </w:r>
    </w:p>
    <w:p>
      <w:pPr>
        <w:pStyle w:val="ListBullet"/>
      </w:pPr>
      <w:r>
        <w:t>Card-present fraud (ATM, in-store)</w:t>
      </w:r>
    </w:p>
    <w:p>
      <w:pPr>
        <w:pStyle w:val="ListBullet"/>
      </w:pPr>
      <w:r>
        <w:t>First-party / friendly fraud</w:t>
      </w:r>
    </w:p>
    <w:p>
      <w:pPr>
        <w:pStyle w:val="ListBullet"/>
      </w:pPr>
      <w:r>
        <w:t>Account takeover detection (separate problem domain)</w:t>
      </w:r>
    </w:p>
    <w:p>
      <w:pPr>
        <w:pStyle w:val="ListBullet"/>
      </w:pPr>
      <w:r>
        <w:t>Multi-institution consortium models</w:t>
      </w:r>
    </w:p>
    <w:p>
      <w:r>
        <w:t>Acceptable Simplifications:</w:t>
      </w:r>
    </w:p>
    <w:p>
      <w:pPr>
        <w:pStyle w:val="ListBullet"/>
      </w:pPr>
      <w:r>
        <w:t>Feature selection to reduce dimensionality for quantum circuits</w:t>
      </w:r>
    </w:p>
    <w:p>
      <w:pPr>
        <w:pStyle w:val="ListBullet"/>
      </w:pPr>
      <w:r>
        <w:t>Subsampling for quantum training (with methodology documented)</w:t>
      </w:r>
    </w:p>
    <w:p>
      <w:pPr>
        <w:pStyle w:val="ListBullet"/>
      </w:pPr>
      <w:r>
        <w:t>Simulation-based development with optional hardware validation — participants who do not execute on hardware are not penalized, but hardware execution is encouraged</w:t>
      </w:r>
    </w:p>
    <w:p>
      <w:pPr>
        <w:pStyle w:val="ListBullet"/>
      </w:pPr>
      <w:r>
        <w:t>Focus on one or two datasets rather than all three</w:t>
      </w:r>
    </w:p>
    <w:p>
      <w:r>
        <w:t>__________________________________________________</w:t>
      </w:r>
    </w:p>
    <w:p>
      <w:pPr>
        <w:pStyle w:val="Heading2"/>
      </w:pPr>
      <w:r>
        <w:t>6. Data and Resources</w:t>
      </w:r>
    </w:p>
    <w:p>
      <w:pPr>
        <w:pStyle w:val="Heading3"/>
      </w:pPr>
      <w:r>
        <w:t>6.1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Dataset</w:t>
            </w:r>
          </w:p>
        </w:tc>
        <w:tc>
          <w:tcPr>
            <w:tcW w:type="dxa" w:w="2160"/>
            <w:shd w:fill="003366"/>
          </w:tcPr>
          <w:p>
            <w:r>
              <w:rPr>
                <w:b/>
                <w:color w:val="FFFFFF"/>
              </w:rPr>
              <w:t>Access</w:t>
            </w:r>
          </w:p>
        </w:tc>
        <w:tc>
          <w:tcPr>
            <w:tcW w:type="dxa" w:w="2160"/>
            <w:shd w:fill="003366"/>
          </w:tcPr>
          <w:p>
            <w:r>
              <w:rPr>
                <w:b/>
                <w:color w:val="FFFFFF"/>
              </w:rPr>
              <w:t>License</w:t>
            </w:r>
          </w:p>
        </w:tc>
        <w:tc>
          <w:tcPr>
            <w:tcW w:type="dxa" w:w="2160"/>
            <w:shd w:fill="003366"/>
          </w:tcPr>
          <w:p>
            <w:r>
              <w:rPr>
                <w:b/>
                <w:color w:val="FFFFFF"/>
              </w:rPr>
              <w:t>URL</w:t>
            </w:r>
          </w:p>
        </w:tc>
      </w:tr>
      <w:tr>
        <w:tc>
          <w:tcPr>
            <w:tcW w:type="dxa" w:w="2160"/>
            <w:shd w:fill="F2F2F2"/>
          </w:tcPr>
          <w:p>
            <w:r>
              <w:t>IEEE-CIS Fraud Detection</w:t>
            </w:r>
          </w:p>
        </w:tc>
        <w:tc>
          <w:tcPr>
            <w:tcW w:type="dxa" w:w="2160"/>
            <w:shd w:fill="F2F2F2"/>
          </w:tcPr>
          <w:p>
            <w:r>
              <w:t>Kaggle (requires account)</w:t>
            </w:r>
          </w:p>
        </w:tc>
        <w:tc>
          <w:tcPr>
            <w:tcW w:type="dxa" w:w="2160"/>
            <w:shd w:fill="F2F2F2"/>
          </w:tcPr>
          <w:p>
            <w:r>
              <w:t>Competition license</w:t>
            </w:r>
          </w:p>
        </w:tc>
        <w:tc>
          <w:tcPr>
            <w:tcW w:type="dxa" w:w="2160"/>
            <w:shd w:fill="F2F2F2"/>
          </w:tcPr>
          <w:p>
            <w:r>
              <w:t>kaggle.com/c/ieee-fraud-detection</w:t>
            </w:r>
          </w:p>
        </w:tc>
      </w:tr>
      <w:tr>
        <w:tc>
          <w:tcPr>
            <w:tcW w:type="dxa" w:w="2160"/>
          </w:tcPr>
          <w:p>
            <w:r>
              <w:t>European Cardholder (ULB)</w:t>
            </w:r>
          </w:p>
        </w:tc>
        <w:tc>
          <w:tcPr>
            <w:tcW w:type="dxa" w:w="2160"/>
          </w:tcPr>
          <w:p>
            <w:r>
              <w:t>Kaggle (direct download)</w:t>
            </w:r>
          </w:p>
        </w:tc>
        <w:tc>
          <w:tcPr>
            <w:tcW w:type="dxa" w:w="2160"/>
          </w:tcPr>
          <w:p>
            <w:r>
              <w:t>Open Database License</w:t>
            </w:r>
          </w:p>
        </w:tc>
        <w:tc>
          <w:tcPr>
            <w:tcW w:type="dxa" w:w="2160"/>
          </w:tcPr>
          <w:p>
            <w:r>
              <w:t>kaggle.com/datasets/mlg-ulb/creditcardfraud</w:t>
            </w:r>
          </w:p>
        </w:tc>
      </w:tr>
      <w:tr>
        <w:tc>
          <w:tcPr>
            <w:tcW w:type="dxa" w:w="2160"/>
            <w:shd w:fill="F2F2F2"/>
          </w:tcPr>
          <w:p>
            <w:r>
              <w:t>Sparkov Synthetic</w:t>
            </w:r>
          </w:p>
        </w:tc>
        <w:tc>
          <w:tcPr>
            <w:tcW w:type="dxa" w:w="2160"/>
            <w:shd w:fill="F2F2F2"/>
          </w:tcPr>
          <w:p>
            <w:r>
              <w:t>Kaggle (direct download)</w:t>
            </w:r>
          </w:p>
        </w:tc>
        <w:tc>
          <w:tcPr>
            <w:tcW w:type="dxa" w:w="2160"/>
            <w:shd w:fill="F2F2F2"/>
          </w:tcPr>
          <w:p>
            <w:r>
              <w:t>Open</w:t>
            </w:r>
          </w:p>
        </w:tc>
        <w:tc>
          <w:tcPr>
            <w:tcW w:type="dxa" w:w="2160"/>
            <w:shd w:fill="F2F2F2"/>
          </w:tcPr>
          <w:p>
            <w:r>
              <w:t>kaggle.com/datasets/kartik2112/fraud-detection</w:t>
            </w:r>
          </w:p>
        </w:tc>
      </w:tr>
    </w:tbl>
    <w:p/>
    <w:p>
      <w:pPr>
        <w:pStyle w:val="Heading3"/>
      </w:pPr>
      <w:r>
        <w:t>6.2 Quantum Hardware and Simulators (Amazon Braket)</w:t>
      </w:r>
    </w:p>
    <w:p>
      <w:r>
        <w:t>Participants will have access to quantum computing resources through Amazon Braket, including real quantum hardware and managed cloud simulators.</w:t>
      </w:r>
    </w:p>
    <w:p>
      <w:r>
        <w:t>Quantum Processing Units (QPUs):</w:t>
      </w:r>
    </w:p>
    <w:p>
      <w:r>
        <w:t>Amazon Braket provides on-demand access to QPUs across multiple hardware modalities (AWS, 2025):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3366"/>
          </w:tcPr>
          <w:p>
            <w:r>
              <w:rPr>
                <w:b/>
                <w:color w:val="FFFFFF"/>
              </w:rPr>
              <w:t>Provider</w:t>
            </w:r>
          </w:p>
        </w:tc>
        <w:tc>
          <w:tcPr>
            <w:tcW w:type="dxa" w:w="1440"/>
            <w:shd w:fill="003366"/>
          </w:tcPr>
          <w:p>
            <w:r>
              <w:rPr>
                <w:b/>
                <w:color w:val="FFFFFF"/>
              </w:rPr>
              <w:t>Device</w:t>
            </w:r>
          </w:p>
        </w:tc>
        <w:tc>
          <w:tcPr>
            <w:tcW w:type="dxa" w:w="1440"/>
            <w:shd w:fill="003366"/>
          </w:tcPr>
          <w:p>
            <w:r>
              <w:rPr>
                <w:b/>
                <w:color w:val="FFFFFF"/>
              </w:rPr>
              <w:t>Qubits</w:t>
            </w:r>
          </w:p>
        </w:tc>
        <w:tc>
          <w:tcPr>
            <w:tcW w:type="dxa" w:w="1440"/>
            <w:shd w:fill="003366"/>
          </w:tcPr>
          <w:p>
            <w:r>
              <w:rPr>
                <w:b/>
                <w:color w:val="FFFFFF"/>
              </w:rPr>
              <w:t>Technology</w:t>
            </w:r>
          </w:p>
        </w:tc>
        <w:tc>
          <w:tcPr>
            <w:tcW w:type="dxa" w:w="1440"/>
            <w:shd w:fill="003366"/>
          </w:tcPr>
          <w:p>
            <w:r>
              <w:rPr>
                <w:b/>
                <w:color w:val="FFFFFF"/>
              </w:rPr>
              <w:t>Gate Fidelity (2Q)</w:t>
            </w:r>
          </w:p>
        </w:tc>
        <w:tc>
          <w:tcPr>
            <w:tcW w:type="dxa" w:w="1440"/>
            <w:shd w:fill="003366"/>
          </w:tcPr>
          <w:p>
            <w:r>
              <w:rPr>
                <w:b/>
                <w:color w:val="FFFFFF"/>
              </w:rPr>
              <w:t>Region</w:t>
            </w:r>
          </w:p>
        </w:tc>
      </w:tr>
      <w:tr>
        <w:tc>
          <w:tcPr>
            <w:tcW w:type="dxa" w:w="1440"/>
            <w:shd w:fill="F2F2F2"/>
          </w:tcPr>
          <w:p>
            <w:r>
              <w:t>IonQ</w:t>
            </w:r>
          </w:p>
        </w:tc>
        <w:tc>
          <w:tcPr>
            <w:tcW w:type="dxa" w:w="1440"/>
            <w:shd w:fill="F2F2F2"/>
          </w:tcPr>
          <w:p>
            <w:r>
              <w:t>Forte Enterprise</w:t>
            </w:r>
          </w:p>
        </w:tc>
        <w:tc>
          <w:tcPr>
            <w:tcW w:type="dxa" w:w="1440"/>
            <w:shd w:fill="F2F2F2"/>
          </w:tcPr>
          <w:p>
            <w:r>
              <w:t>36</w:t>
            </w:r>
          </w:p>
        </w:tc>
        <w:tc>
          <w:tcPr>
            <w:tcW w:type="dxa" w:w="1440"/>
            <w:shd w:fill="F2F2F2"/>
          </w:tcPr>
          <w:p>
            <w:r>
              <w:t>Trapped Ion</w:t>
            </w:r>
          </w:p>
        </w:tc>
        <w:tc>
          <w:tcPr>
            <w:tcW w:type="dxa" w:w="1440"/>
            <w:shd w:fill="F2F2F2"/>
          </w:tcPr>
          <w:p>
            <w:r>
              <w:t>High (35 #AQ)</w:t>
            </w:r>
          </w:p>
        </w:tc>
        <w:tc>
          <w:tcPr>
            <w:tcW w:type="dxa" w:w="1440"/>
            <w:shd w:fill="F2F2F2"/>
          </w:tcPr>
          <w:p>
            <w:r>
              <w:t>US East</w:t>
            </w:r>
          </w:p>
        </w:tc>
      </w:tr>
      <w:tr>
        <w:tc>
          <w:tcPr>
            <w:tcW w:type="dxa" w:w="1440"/>
          </w:tcPr>
          <w:p>
            <w:r>
              <w:t>IonQ</w:t>
            </w:r>
          </w:p>
        </w:tc>
        <w:tc>
          <w:tcPr>
            <w:tcW w:type="dxa" w:w="1440"/>
          </w:tcPr>
          <w:p>
            <w:r>
              <w:t>Aria</w:t>
            </w:r>
          </w:p>
        </w:tc>
        <w:tc>
          <w:tcPr>
            <w:tcW w:type="dxa" w:w="1440"/>
          </w:tcPr>
          <w:p>
            <w:r>
              <w:t>25</w:t>
            </w:r>
          </w:p>
        </w:tc>
        <w:tc>
          <w:tcPr>
            <w:tcW w:type="dxa" w:w="1440"/>
          </w:tcPr>
          <w:p>
            <w:r>
              <w:t>Trapped Ion</w:t>
            </w:r>
          </w:p>
        </w:tc>
        <w:tc>
          <w:tcPr>
            <w:tcW w:type="dxa" w:w="1440"/>
          </w:tcPr>
          <w:p>
            <w:r>
              <w:t>99.4%</w:t>
            </w:r>
          </w:p>
        </w:tc>
        <w:tc>
          <w:tcPr>
            <w:tcW w:type="dxa" w:w="1440"/>
          </w:tcPr>
          <w:p>
            <w:r>
              <w:t>US East</w:t>
            </w:r>
          </w:p>
        </w:tc>
      </w:tr>
      <w:tr>
        <w:tc>
          <w:tcPr>
            <w:tcW w:type="dxa" w:w="1440"/>
            <w:shd w:fill="F2F2F2"/>
          </w:tcPr>
          <w:p>
            <w:r>
              <w:t>IQM</w:t>
            </w:r>
          </w:p>
        </w:tc>
        <w:tc>
          <w:tcPr>
            <w:tcW w:type="dxa" w:w="1440"/>
            <w:shd w:fill="F2F2F2"/>
          </w:tcPr>
          <w:p>
            <w:r>
              <w:t>Emerald</w:t>
            </w:r>
          </w:p>
        </w:tc>
        <w:tc>
          <w:tcPr>
            <w:tcW w:type="dxa" w:w="1440"/>
            <w:shd w:fill="F2F2F2"/>
          </w:tcPr>
          <w:p>
            <w:r>
              <w:t>54</w:t>
            </w:r>
          </w:p>
        </w:tc>
        <w:tc>
          <w:tcPr>
            <w:tcW w:type="dxa" w:w="1440"/>
            <w:shd w:fill="F2F2F2"/>
          </w:tcPr>
          <w:p>
            <w:r>
              <w:t>Superconducting</w:t>
            </w:r>
          </w:p>
        </w:tc>
        <w:tc>
          <w:tcPr>
            <w:tcW w:type="dxa" w:w="1440"/>
            <w:shd w:fill="F2F2F2"/>
          </w:tcPr>
          <w:p>
            <w:r>
              <w:t>99.5%</w:t>
            </w:r>
          </w:p>
        </w:tc>
        <w:tc>
          <w:tcPr>
            <w:tcW w:type="dxa" w:w="1440"/>
            <w:shd w:fill="F2F2F2"/>
          </w:tcPr>
          <w:p>
            <w:r>
              <w:t>Europe (Stockholm)</w:t>
            </w:r>
          </w:p>
        </w:tc>
      </w:tr>
      <w:tr>
        <w:tc>
          <w:tcPr>
            <w:tcW w:type="dxa" w:w="1440"/>
          </w:tcPr>
          <w:p>
            <w:r>
              <w:t>IQM</w:t>
            </w:r>
          </w:p>
        </w:tc>
        <w:tc>
          <w:tcPr>
            <w:tcW w:type="dxa" w:w="1440"/>
          </w:tcPr>
          <w:p>
            <w:r>
              <w:t>Garnet</w:t>
            </w:r>
          </w:p>
        </w:tc>
        <w:tc>
          <w:tcPr>
            <w:tcW w:type="dxa" w:w="1440"/>
          </w:tcPr>
          <w:p>
            <w:r>
              <w:t>20</w:t>
            </w:r>
          </w:p>
        </w:tc>
        <w:tc>
          <w:tcPr>
            <w:tcW w:type="dxa" w:w="1440"/>
          </w:tcPr>
          <w:p>
            <w:r>
              <w:t>Superconducting</w:t>
            </w:r>
          </w:p>
        </w:tc>
        <w:tc>
          <w:tcPr>
            <w:tcW w:type="dxa" w:w="1440"/>
          </w:tcPr>
          <w:p>
            <w:r>
              <w:t>99.51%</w:t>
            </w:r>
          </w:p>
        </w:tc>
        <w:tc>
          <w:tcPr>
            <w:tcW w:type="dxa" w:w="1440"/>
          </w:tcPr>
          <w:p>
            <w:r>
              <w:t>Europe (Stockholm)</w:t>
            </w:r>
          </w:p>
        </w:tc>
      </w:tr>
      <w:tr>
        <w:tc>
          <w:tcPr>
            <w:tcW w:type="dxa" w:w="1440"/>
            <w:shd w:fill="F2F2F2"/>
          </w:tcPr>
          <w:p>
            <w:r>
              <w:t>Rigetti</w:t>
            </w:r>
          </w:p>
        </w:tc>
        <w:tc>
          <w:tcPr>
            <w:tcW w:type="dxa" w:w="1440"/>
            <w:shd w:fill="F2F2F2"/>
          </w:tcPr>
          <w:p>
            <w:r>
              <w:t>Ankaa-2</w:t>
            </w:r>
          </w:p>
        </w:tc>
        <w:tc>
          <w:tcPr>
            <w:tcW w:type="dxa" w:w="1440"/>
            <w:shd w:fill="F2F2F2"/>
          </w:tcPr>
          <w:p>
            <w:r>
              <w:t>84</w:t>
            </w:r>
          </w:p>
        </w:tc>
        <w:tc>
          <w:tcPr>
            <w:tcW w:type="dxa" w:w="1440"/>
            <w:shd w:fill="F2F2F2"/>
          </w:tcPr>
          <w:p>
            <w:r>
              <w:t>Superconducting</w:t>
            </w:r>
          </w:p>
        </w:tc>
        <w:tc>
          <w:tcPr>
            <w:tcW w:type="dxa" w:w="1440"/>
            <w:shd w:fill="F2F2F2"/>
          </w:tcPr>
          <w:p>
            <w:r>
              <w:t>98%</w:t>
            </w:r>
          </w:p>
        </w:tc>
        <w:tc>
          <w:tcPr>
            <w:tcW w:type="dxa" w:w="1440"/>
            <w:shd w:fill="F2F2F2"/>
          </w:tcPr>
          <w:p>
            <w:r>
              <w:t>US West</w:t>
            </w:r>
          </w:p>
        </w:tc>
      </w:tr>
      <w:tr>
        <w:tc>
          <w:tcPr>
            <w:tcW w:type="dxa" w:w="1440"/>
          </w:tcPr>
          <w:p>
            <w:r>
              <w:t>QuEra</w:t>
            </w:r>
          </w:p>
        </w:tc>
        <w:tc>
          <w:tcPr>
            <w:tcW w:type="dxa" w:w="1440"/>
          </w:tcPr>
          <w:p>
            <w:r>
              <w:t>Aquila</w:t>
            </w:r>
          </w:p>
        </w:tc>
        <w:tc>
          <w:tcPr>
            <w:tcW w:type="dxa" w:w="1440"/>
          </w:tcPr>
          <w:p>
            <w:r>
              <w:t>256</w:t>
            </w:r>
          </w:p>
        </w:tc>
        <w:tc>
          <w:tcPr>
            <w:tcW w:type="dxa" w:w="1440"/>
          </w:tcPr>
          <w:p>
            <w:r>
              <w:t>Neutral Atom</w:t>
            </w:r>
          </w:p>
        </w:tc>
        <w:tc>
          <w:tcPr>
            <w:tcW w:type="dxa" w:w="1440"/>
          </w:tcPr>
          <w:p>
            <w:r>
              <w:t>Analog mode</w:t>
            </w:r>
          </w:p>
        </w:tc>
        <w:tc>
          <w:tcPr>
            <w:tcW w:type="dxa" w:w="1440"/>
          </w:tcPr>
          <w:p>
            <w:r>
              <w:t>US East</w:t>
            </w:r>
          </w:p>
        </w:tc>
      </w:tr>
      <w:tr>
        <w:tc>
          <w:tcPr>
            <w:tcW w:type="dxa" w:w="1440"/>
            <w:shd w:fill="F2F2F2"/>
          </w:tcPr>
          <w:p>
            <w:r>
              <w:t>AQT</w:t>
            </w:r>
          </w:p>
        </w:tc>
        <w:tc>
          <w:tcPr>
            <w:tcW w:type="dxa" w:w="1440"/>
            <w:shd w:fill="F2F2F2"/>
          </w:tcPr>
          <w:p>
            <w:r>
              <w:t>IBEX Q1</w:t>
            </w:r>
          </w:p>
        </w:tc>
        <w:tc>
          <w:tcPr>
            <w:tcW w:type="dxa" w:w="1440"/>
            <w:shd w:fill="F2F2F2"/>
          </w:tcPr>
          <w:p>
            <w:r>
              <w:t>12</w:t>
            </w:r>
          </w:p>
        </w:tc>
        <w:tc>
          <w:tcPr>
            <w:tcW w:type="dxa" w:w="1440"/>
            <w:shd w:fill="F2F2F2"/>
          </w:tcPr>
          <w:p>
            <w:r>
              <w:t>Trapped Ion</w:t>
            </w:r>
          </w:p>
        </w:tc>
        <w:tc>
          <w:tcPr>
            <w:tcW w:type="dxa" w:w="1440"/>
            <w:shd w:fill="F2F2F2"/>
          </w:tcPr>
          <w:p>
            <w:r>
              <w:t>97.7%</w:t>
            </w:r>
          </w:p>
        </w:tc>
        <w:tc>
          <w:tcPr>
            <w:tcW w:type="dxa" w:w="1440"/>
            <w:shd w:fill="F2F2F2"/>
          </w:tcPr>
          <w:p>
            <w:r>
              <w:t>Europe</w:t>
            </w:r>
          </w:p>
        </w:tc>
      </w:tr>
    </w:tbl>
    <w:p/>
    <w:p>
      <w:r>
        <w:t>(Sources: AWS Quantum Computing Blog, 2023–2025; IonQ, 2025; IQM, 2025; Rigetti, 2024; QuEra, 2022)</w:t>
      </w:r>
    </w:p>
    <w:p>
      <w:r>
        <w:t>Managed Simulators: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Simulator</w:t>
            </w:r>
          </w:p>
        </w:tc>
        <w:tc>
          <w:tcPr>
            <w:tcW w:type="dxa" w:w="2880"/>
            <w:shd w:fill="003366"/>
          </w:tcPr>
          <w:p>
            <w:r>
              <w:rPr>
                <w:b/>
                <w:color w:val="FFFFFF"/>
              </w:rPr>
              <w:t>Max Qubits</w:t>
            </w:r>
          </w:p>
        </w:tc>
        <w:tc>
          <w:tcPr>
            <w:tcW w:type="dxa" w:w="2880"/>
            <w:shd w:fill="003366"/>
          </w:tcPr>
          <w:p>
            <w:r>
              <w:rPr>
                <w:b/>
                <w:color w:val="FFFFFF"/>
              </w:rPr>
              <w:t>Description</w:t>
            </w:r>
          </w:p>
        </w:tc>
      </w:tr>
      <w:tr>
        <w:tc>
          <w:tcPr>
            <w:tcW w:type="dxa" w:w="2880"/>
            <w:shd w:fill="F2F2F2"/>
          </w:tcPr>
          <w:p>
            <w:r>
              <w:t>SV1 (State Vector)</w:t>
            </w:r>
          </w:p>
        </w:tc>
        <w:tc>
          <w:tcPr>
            <w:tcW w:type="dxa" w:w="2880"/>
            <w:shd w:fill="F2F2F2"/>
          </w:tcPr>
          <w:p>
            <w:r>
              <w:t>34</w:t>
            </w:r>
          </w:p>
        </w:tc>
        <w:tc>
          <w:tcPr>
            <w:tcW w:type="dxa" w:w="2880"/>
            <w:shd w:fill="F2F2F2"/>
          </w:tcPr>
          <w:p>
            <w:r>
              <w:t>High-performance exact simulation</w:t>
            </w:r>
          </w:p>
        </w:tc>
      </w:tr>
      <w:tr>
        <w:tc>
          <w:tcPr>
            <w:tcW w:type="dxa" w:w="2880"/>
          </w:tcPr>
          <w:p>
            <w:r>
              <w:t>TN1 (Tensor Network)</w:t>
            </w:r>
          </w:p>
        </w:tc>
        <w:tc>
          <w:tcPr>
            <w:tcW w:type="dxa" w:w="2880"/>
          </w:tcPr>
          <w:p>
            <w:r>
              <w:t>50</w:t>
            </w:r>
          </w:p>
        </w:tc>
        <w:tc>
          <w:tcPr>
            <w:tcW w:type="dxa" w:w="2880"/>
          </w:tcPr>
          <w:p>
            <w:r>
              <w:t>Efficient for structured circuits</w:t>
            </w:r>
          </w:p>
        </w:tc>
      </w:tr>
      <w:tr>
        <w:tc>
          <w:tcPr>
            <w:tcW w:type="dxa" w:w="2880"/>
            <w:shd w:fill="F2F2F2"/>
          </w:tcPr>
          <w:p>
            <w:r>
              <w:t>DM1 (Density Matrix)</w:t>
            </w:r>
          </w:p>
        </w:tc>
        <w:tc>
          <w:tcPr>
            <w:tcW w:type="dxa" w:w="2880"/>
            <w:shd w:fill="F2F2F2"/>
          </w:tcPr>
          <w:p>
            <w:r>
              <w:t>17</w:t>
            </w:r>
          </w:p>
        </w:tc>
        <w:tc>
          <w:tcPr>
            <w:tcW w:type="dxa" w:w="2880"/>
            <w:shd w:fill="F2F2F2"/>
          </w:tcPr>
          <w:p>
            <w:r>
              <w:t>Supports noise modeling for hardware prototyping</w:t>
            </w:r>
          </w:p>
        </w:tc>
      </w:tr>
    </w:tbl>
    <w:p/>
    <w:p>
      <w:r>
        <w:t>(Source: AWS Braket Documentation, 2025)</w:t>
      </w:r>
    </w:p>
    <w:p>
      <w:r>
        <w:t>Recommended Workflow:</w:t>
      </w:r>
    </w:p>
    <w:p>
      <w:pPr>
        <w:pStyle w:val="ListNumber"/>
      </w:pPr>
      <w:r>
        <w:t>Develop and iterate circuits using local simulators or Braket SV1/TN1</w:t>
      </w:r>
    </w:p>
    <w:p>
      <w:pPr>
        <w:pStyle w:val="ListNumber"/>
      </w:pPr>
      <w:r>
        <w:t>Prototype noise-aware circuits using DM1</w:t>
      </w:r>
    </w:p>
    <w:p>
      <w:pPr>
        <w:pStyle w:val="ListNumber"/>
      </w:pPr>
      <w:r>
        <w:t>Execute validated circuits on QPU hardware</w:t>
      </w:r>
    </w:p>
    <w:p>
      <w:pPr>
        <w:pStyle w:val="ListNumber"/>
      </w:pPr>
      <w:r>
        <w:t>Compare simulator and hardware results to characterize noise impact</w:t>
      </w:r>
    </w:p>
    <w:p>
      <w:pPr>
        <w:pStyle w:val="Heading3"/>
      </w:pPr>
      <w:r>
        <w:t>6.3 Suggested Quantum Approaches</w:t>
      </w:r>
    </w:p>
    <w:p>
      <w:r>
        <w:t>Participants may explore any quantum or quantum-inspired technique. Approaches that have shown promise in the literature include:</w:t>
      </w:r>
    </w:p>
    <w:p>
      <w:pPr>
        <w:pStyle w:val="ListBullet"/>
      </w:pPr>
      <w:r>
        <w:t>Quantum Support Vector Machines (QSVM): Quantum kernel methods for classification; QSVC achieved F1 of 0.98 in comparative study (Innan et al., 2023)</w:t>
      </w:r>
    </w:p>
    <w:p>
      <w:pPr>
        <w:pStyle w:val="ListBullet"/>
      </w:pPr>
      <w:r>
        <w:t>Variational Quantum Classifiers (VQC): Parameterized quantum circuits; VQC achieved F1 of 0.88 on European Cardholder data (Karimi et al., 2024)</w:t>
      </w:r>
    </w:p>
    <w:p>
      <w:pPr>
        <w:pStyle w:val="ListBullet"/>
      </w:pPr>
      <w:r>
        <w:t>Quantum Autoencoders (QAE): Unsupervised anomaly detection via reconstruction error; QAE outperformed classical autoencoders on cybersecurity data with Dense-Angle encoding (arXiv:2510.21837, 2025)</w:t>
      </w:r>
    </w:p>
    <w:p>
      <w:pPr>
        <w:pStyle w:val="ListBullet"/>
      </w:pPr>
      <w:r>
        <w:t>Hybrid Quantum-Classical Pipelines: Classical preprocessing with quantum model layers; Deloitte achieved 0.87 precision with just 3 qubits (Deloitte + AWS, 2024)</w:t>
      </w:r>
    </w:p>
    <w:p>
      <w:pPr>
        <w:pStyle w:val="ListBullet"/>
      </w:pPr>
      <w:r>
        <w:t>Tensor Network Methods: MPS/MPO-based classification without qubit limitations (ITensor, TensorNetwork)</w:t>
      </w:r>
    </w:p>
    <w:p>
      <w:pPr>
        <w:pStyle w:val="Heading3"/>
      </w:pPr>
      <w:r>
        <w:t>6.4 Reference Implementations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Resource</w:t>
            </w:r>
          </w:p>
        </w:tc>
        <w:tc>
          <w:tcPr>
            <w:tcW w:type="dxa" w:w="2880"/>
            <w:shd w:fill="003366"/>
          </w:tcPr>
          <w:p>
            <w:r>
              <w:rPr>
                <w:b/>
                <w:color w:val="FFFFFF"/>
              </w:rPr>
              <w:t>Description</w:t>
            </w:r>
          </w:p>
        </w:tc>
        <w:tc>
          <w:tcPr>
            <w:tcW w:type="dxa" w:w="2880"/>
            <w:shd w:fill="003366"/>
          </w:tcPr>
          <w:p>
            <w:r>
              <w:rPr>
                <w:b/>
                <w:color w:val="FFFFFF"/>
              </w:rPr>
              <w:t>Link</w:t>
            </w:r>
          </w:p>
        </w:tc>
      </w:tr>
      <w:tr>
        <w:tc>
          <w:tcPr>
            <w:tcW w:type="dxa" w:w="2880"/>
            <w:shd w:fill="F2F2F2"/>
          </w:tcPr>
          <w:p>
            <w:r>
              <w:t>IEEE-CIS Winning Solution</w:t>
            </w:r>
          </w:p>
        </w:tc>
        <w:tc>
          <w:tcPr>
            <w:tcW w:type="dxa" w:w="2880"/>
            <w:shd w:fill="F2F2F2"/>
          </w:tcPr>
          <w:p>
            <w:r>
              <w:t>1st place: XGBoost+CatBoost+LightGBM, AUC 0.9459</w:t>
            </w:r>
          </w:p>
        </w:tc>
        <w:tc>
          <w:tcPr>
            <w:tcW w:type="dxa" w:w="2880"/>
            <w:shd w:fill="F2F2F2"/>
          </w:tcPr>
          <w:p>
            <w:r>
              <w:t>NVIDIA Developer Blog</w:t>
            </w:r>
          </w:p>
        </w:tc>
      </w:tr>
      <w:tr>
        <w:tc>
          <w:tcPr>
            <w:tcW w:type="dxa" w:w="2880"/>
          </w:tcPr>
          <w:p>
            <w:r>
              <w:t>Quantum Anomaly Detection</w:t>
            </w:r>
          </w:p>
        </w:tc>
        <w:tc>
          <w:tcPr>
            <w:tcW w:type="dxa" w:w="2880"/>
          </w:tcPr>
          <w:p>
            <w:r>
              <w:t>Variational QAD, Qiskit</w:t>
            </w:r>
          </w:p>
        </w:tc>
        <w:tc>
          <w:tcPr>
            <w:tcW w:type="dxa" w:w="2880"/>
          </w:tcPr>
          <w:p>
            <w:r>
              <w:t>github.com/Qottmann/Quantum-anomaly-detection</w:t>
            </w:r>
          </w:p>
        </w:tc>
      </w:tr>
      <w:tr>
        <w:tc>
          <w:tcPr>
            <w:tcW w:type="dxa" w:w="2880"/>
            <w:shd w:fill="F2F2F2"/>
          </w:tcPr>
          <w:p>
            <w:r>
              <w:t>IBM Hackathon Winner</w:t>
            </w:r>
          </w:p>
        </w:tc>
        <w:tc>
          <w:tcPr>
            <w:tcW w:type="dxa" w:w="2880"/>
            <w:shd w:fill="F2F2F2"/>
          </w:tcPr>
          <w:p>
            <w:r>
              <w:t>QuantumAnomalyDetection, Qiskit</w:t>
            </w:r>
          </w:p>
        </w:tc>
        <w:tc>
          <w:tcPr>
            <w:tcW w:type="dxa" w:w="2880"/>
            <w:shd w:fill="F2F2F2"/>
          </w:tcPr>
          <w:p>
            <w:r>
              <w:t>github.com/diegour1/QuantumAnomalyDetection</w:t>
            </w:r>
          </w:p>
        </w:tc>
      </w:tr>
      <w:tr>
        <w:tc>
          <w:tcPr>
            <w:tcW w:type="dxa" w:w="2880"/>
          </w:tcPr>
          <w:p>
            <w:r>
              <w:t>Latent Space QML</w:t>
            </w:r>
          </w:p>
        </w:tc>
        <w:tc>
          <w:tcPr>
            <w:tcW w:type="dxa" w:w="2880"/>
          </w:tcPr>
          <w:p>
            <w:r>
              <w:t>Anomaly detection with PennyLane</w:t>
            </w:r>
          </w:p>
        </w:tc>
        <w:tc>
          <w:tcPr>
            <w:tcW w:type="dxa" w:w="2880"/>
          </w:tcPr>
          <w:p>
            <w:r>
              <w:t>github.com/vbelis/latent-ad-qml</w:t>
            </w:r>
          </w:p>
        </w:tc>
      </w:tr>
      <w:tr>
        <w:tc>
          <w:tcPr>
            <w:tcW w:type="dxa" w:w="2880"/>
            <w:shd w:fill="F2F2F2"/>
          </w:tcPr>
          <w:p>
            <w:r>
              <w:t>Deloitte + AWS Case Study</w:t>
            </w:r>
          </w:p>
        </w:tc>
        <w:tc>
          <w:tcPr>
            <w:tcW w:type="dxa" w:w="2880"/>
            <w:shd w:fill="F2F2F2"/>
          </w:tcPr>
          <w:p>
            <w:r>
              <w:t>Hybrid QNN for fraud detection</w:t>
            </w:r>
          </w:p>
        </w:tc>
        <w:tc>
          <w:tcPr>
            <w:tcW w:type="dxa" w:w="2880"/>
            <w:shd w:fill="F2F2F2"/>
          </w:tcPr>
          <w:p>
            <w:r>
              <w:t>AWS ML Blog</w:t>
            </w:r>
          </w:p>
        </w:tc>
      </w:tr>
      <w:tr>
        <w:tc>
          <w:tcPr>
            <w:tcW w:type="dxa" w:w="2880"/>
          </w:tcPr>
          <w:p>
            <w:r>
              <w:t>Qiskit QAE Tutorial</w:t>
            </w:r>
          </w:p>
        </w:tc>
        <w:tc>
          <w:tcPr>
            <w:tcW w:type="dxa" w:w="2880"/>
          </w:tcPr>
          <w:p>
            <w:r>
              <w:t>Quantum Autoencoder implementation</w:t>
            </w:r>
          </w:p>
        </w:tc>
        <w:tc>
          <w:tcPr>
            <w:tcW w:type="dxa" w:w="2880"/>
          </w:tcPr>
          <w:p>
            <w:r>
              <w:t>Qiskit ML Tutorials</w:t>
            </w:r>
          </w:p>
        </w:tc>
      </w:tr>
      <w:tr>
        <w:tc>
          <w:tcPr>
            <w:tcW w:type="dxa" w:w="2880"/>
            <w:shd w:fill="F2F2F2"/>
          </w:tcPr>
          <w:p>
            <w:r>
              <w:t>PennyLane VQC Demo</w:t>
            </w:r>
          </w:p>
        </w:tc>
        <w:tc>
          <w:tcPr>
            <w:tcW w:type="dxa" w:w="2880"/>
            <w:shd w:fill="F2F2F2"/>
          </w:tcPr>
          <w:p>
            <w:r>
              <w:t>Variational classifier tutorial</w:t>
            </w:r>
          </w:p>
        </w:tc>
        <w:tc>
          <w:tcPr>
            <w:tcW w:type="dxa" w:w="2880"/>
            <w:shd w:fill="F2F2F2"/>
          </w:tcPr>
          <w:p>
            <w:r>
              <w:t>pennylane.ai/qml</w:t>
            </w:r>
          </w:p>
        </w:tc>
      </w:tr>
    </w:tbl>
    <w:p/>
    <w:p>
      <w:pPr>
        <w:pStyle w:val="Heading3"/>
      </w:pPr>
      <w:r>
        <w:t>6.5 Starter Resources</w:t>
      </w:r>
    </w:p>
    <w:p>
      <w:pPr>
        <w:pStyle w:val="ListBullet"/>
      </w:pPr>
      <w:r>
        <w:t>Amazon Braket example notebooks — QPU and simulator usage, hybrid algorithms (GitHub: amazon-braket/amazon-braket-examples)</w:t>
      </w:r>
    </w:p>
    <w:p>
      <w:pPr>
        <w:pStyle w:val="ListBullet"/>
      </w:pPr>
      <w:r>
        <w:t>Qiskit Machine Learning tutorials and examples</w:t>
      </w:r>
    </w:p>
    <w:p>
      <w:pPr>
        <w:pStyle w:val="ListBullet"/>
      </w:pPr>
      <w:r>
        <w:t>PennyLane variational classifier and quantum kernel demonstrations</w:t>
      </w:r>
    </w:p>
    <w:p>
      <w:pPr>
        <w:pStyle w:val="ListBullet"/>
      </w:pPr>
      <w:r>
        <w:t>Feature engineering notebooks from the IEEE-CIS Kaggle competition (6,381 teams, extensive public notebooks)</w:t>
      </w:r>
    </w:p>
    <w:p>
      <w:pPr>
        <w:pStyle w:val="ListBullet"/>
      </w:pPr>
      <w:r>
        <w:t>Classical baseline implementations for benchmarking</w:t>
      </w:r>
    </w:p>
    <w:p>
      <w:r>
        <w:t>__________________________________________________</w:t>
      </w:r>
    </w:p>
    <w:p>
      <w:pPr>
        <w:pStyle w:val="Heading2"/>
      </w:pPr>
      <w:r>
        <w:t>7. References</w:t>
      </w:r>
    </w:p>
    <w:p>
      <w:pPr>
        <w:pStyle w:val="Heading3"/>
      </w:pPr>
      <w:r>
        <w:t>Industry Reports and Statistics</w:t>
      </w:r>
    </w:p>
    <w:p>
      <w:pPr>
        <w:pStyle w:val="ListNumber"/>
      </w:pPr>
      <w:r>
        <w:t>The Nilson Report. (2025, January 6). "Payment Card Fraud Losses Approach $34 Billion." GlobeNewsWire. https://www.globenewswire.com/news-release/2025/01/06/3004931/0/en/Payment-Card-Fraud-Losses-Approach-34-Billion.html — *Global card fraud losses: $33.83 billion (2023); projected $403.88 billion cumulative over next decade.*</w:t>
      </w:r>
    </w:p>
    <w:p>
      <w:pPr>
        <w:pStyle w:val="ListNumber"/>
      </w:pPr>
      <w:r>
        <w:t>LexisNexis Risk Solutions. (2024, April 24). "True Cost of Fraud Study — Financial Services and Lending." https://risk.lexisnexis.com/about-us/press-room/press-release/20240424-tcof-financial-services-lending — *Each $1 of fraud costs financial institutions $4.41.*</w:t>
      </w:r>
    </w:p>
    <w:p>
      <w:pPr>
        <w:pStyle w:val="ListNumber"/>
      </w:pPr>
      <w:r>
        <w:t>Aite-Novarica Group. (2019). "The E-Commerce Conundrum: Balancing False Declines and Fraud Prevention." https://aite-novarica.com/e-commerce-conundrum-balancing-false-declines-and-fraud-prevention — *Projected $443 billion in false decline losses by 2021.*</w:t>
      </w:r>
    </w:p>
    <w:p>
      <w:pPr>
        <w:pStyle w:val="ListNumber"/>
      </w:pPr>
      <w:r>
        <w:t>Riskified. (2023). "Who Is Behind Your Declined Orders?" https://www.riskified.com/blog/who-is-behind-your-declined-orders/ — *30–70% of all merchant-declined orders are legitimate; merchants lose up to 5.5% of annual revenue to false declines.*</w:t>
      </w:r>
    </w:p>
    <w:p>
      <w:pPr>
        <w:pStyle w:val="ListNumber"/>
      </w:pPr>
      <w:r>
        <w:t>Radial. (2023). "False Declines: Driving Customers Away." https://www.radial.com/insights/false-declines-driving-customers-away — *40%+ of customers abandon purchase after payment decline.*</w:t>
      </w:r>
    </w:p>
    <w:p>
      <w:pPr>
        <w:pStyle w:val="ListNumber"/>
      </w:pPr>
      <w:r>
        <w:t>Flagright. (2023). "Understanding False Positives in Transaction Monitoring." https://www.flagright.com/post/understanding-false-positives-in-transaction-monitoring — *Citing PricewaterhouseCoopers: up to 95% of transaction monitoring alerts are false positives.*</w:t>
      </w:r>
    </w:p>
    <w:p>
      <w:pPr>
        <w:pStyle w:val="ListNumber"/>
      </w:pPr>
      <w:r>
        <w:t>Juniper Research. (2021, January 24). "Digital Wallet Spend to Exceed $10 Trillion Globally in 2025." Business Wire. https://www.businesswire.com/news/home/20210124005048/en/ — *Digital wallet spend projected &gt;$10 trillion by 2025.*</w:t>
      </w:r>
    </w:p>
    <w:p>
      <w:pPr>
        <w:pStyle w:val="ListNumber"/>
      </w:pPr>
      <w:r>
        <w:t>Worldpay. (2025, March). "Global Payments Report 2025." https://www.worldpay.com/en/global-payments-report — *Digital payment spending grew to $18.7 trillion (2024).*</w:t>
      </w:r>
    </w:p>
    <w:p>
      <w:pPr>
        <w:pStyle w:val="ListNumber"/>
      </w:pPr>
      <w:r>
        <w:t>Juniper Research. (2023). "Online Payment Fraud Losses to Exceed $362 Billion." https://www.juniperresearch.com/press/losses-online-payment-fraud-exceed-362-billion/ — *Cumulative online payment fraud losses: $362 billion (2023–2028).*</w:t>
      </w:r>
    </w:p>
    <w:p>
      <w:pPr>
        <w:pStyle w:val="Heading3"/>
      </w:pPr>
      <w:r>
        <w:t>Competition and Benchmark Results</w:t>
      </w:r>
    </w:p>
    <w:p>
      <w:pPr>
        <w:pStyle w:val="ListNumber"/>
      </w:pPr>
      <w:r>
        <w:t>Deotte, C. (2019). "IEEE-CIS Fraud Detection: 1st Place Solution." Via NVIDIA Developer Blog: https://developer.nvidia.com/blog/leveraging-machine-learning-to-detect-fraud-tips-to-developing-a-winning-kaggle-solution/ — *Winning AUC-ROC: 0.9459; XGBoost + CatBoost + LightGBM ensemble; 6,381 teams.*</w:t>
      </w:r>
    </w:p>
    <w:p>
      <w:pPr>
        <w:pStyle w:val="ListNumber"/>
      </w:pPr>
      <w:r>
        <w:t>Kaggle. (2019). "IEEE-CIS Fraud Detection Competition Leaderboard." https://www.kaggle.com/c/ieee-fraud-detection/leaderboard — *7,400+ competitors, 104 countries.*</w:t>
      </w:r>
    </w:p>
    <w:p>
      <w:pPr>
        <w:pStyle w:val="ListNumber"/>
      </w:pPr>
      <w:r>
        <w:t>PMC. (2025). "Stacking-Based Hybrid ML for Credit Card Fraud Detection." https://pmc.ncbi.nlm.nih.gov/articles/PMC12453863/ — *AUC-ROC: 0.9887 (stacking ensemble); F1: 0.8814 on European Cardholder dataset.*</w:t>
      </w:r>
    </w:p>
    <w:p>
      <w:pPr>
        <w:pStyle w:val="ListNumber"/>
      </w:pPr>
      <w:r>
        <w:t>IIETA. (2024). "Comparative Analysis of ML Approaches for Credit Card Fraud Detection." https://www.iieta.org/journals/ijsse/paper/10.18280/ijsse.150504 — *AUPRC: 0.871 (RF+SMOTE), 0.867 (XGBoost+SMOTE) on European Cardholder dataset.*</w:t>
      </w:r>
    </w:p>
    <w:p>
      <w:pPr>
        <w:pStyle w:val="ListNumber"/>
      </w:pPr>
      <w:r>
        <w:t>F1000Research. (2025). "Hybrid Anomaly Detection for Credit Card Fraud." https://f1000research.com/articles/14-664/v2 — *F1: 0.9407 (XRAI hybrid ensemble) on European Cardholder dataset.*</w:t>
      </w:r>
    </w:p>
    <w:p>
      <w:pPr>
        <w:pStyle w:val="Heading3"/>
      </w:pPr>
      <w:r>
        <w:t>Quantum ML Research</w:t>
      </w:r>
    </w:p>
    <w:p>
      <w:pPr>
        <w:pStyle w:val="ListNumber"/>
      </w:pPr>
      <w:r>
        <w:t>Karimi, A., et al. (2024). "Comparative Performance Analysis of Quantum Machine Learning Architectures for Credit Card Fraud Detection." arXiv:2412.19441. — *VQC with Z + Pauli Two Design feature map: F1 = 0.88 on European Cardholder dataset.*</w:t>
      </w:r>
    </w:p>
    <w:p>
      <w:pPr>
        <w:pStyle w:val="ListNumber"/>
      </w:pPr>
      <w:r>
        <w:t>Innan, N., et al. (2023). "Financial Fraud Detection: A Comparative Study of Quantum Machine Learning Models." *International Journal of Quantum Information*, 21(05). DOI: 10.1142/S0219749923500442. — *QSVC achieved F1 = 0.98.*</w:t>
      </w:r>
    </w:p>
    <w:p>
      <w:pPr>
        <w:pStyle w:val="ListNumber"/>
      </w:pPr>
      <w:r>
        <w:t>Grossi, M., et al. (2022). "Mixed Quantum-Classical Method for Fraud Detection with Quantum Feature Selection." *IEEE Transactions on Quantum Engineering*. arXiv:2208.07963. — *QSVM on real IBM quantum hardware: accuracy 0.789. CERN QTI + IBM collaboration.*</w:t>
      </w:r>
    </w:p>
    <w:p>
      <w:pPr>
        <w:pStyle w:val="ListNumber"/>
      </w:pPr>
      <w:r>
        <w:t>Deloitte + AWS. (2024). "Digital Payments Fraud Detection Using Quantum Machine Learning and Amazon Braket." AWS Machine Learning Blog. https://aws.amazon.com/blogs/machine-learning/how-deloitte-italy-built-a-digital-payments-fraud-detection-solution-using-quantum-machine-learning-and-amazon-braket/ — *Hybrid QNN with 3 qubits, precision 0.87; 1,296 parameters (fewer than classical counterpart's 1,329).*</w:t>
      </w:r>
    </w:p>
    <w:p>
      <w:pPr>
        <w:pStyle w:val="ListNumber"/>
      </w:pPr>
      <w:r>
        <w:t>arXiv:2505.00137. (2025). "Toward Practical Quantum Machine Learning: A Novel Hybrid Quantum LSTM for Fraud Detection." — *Hybrid Quantum LSTM: accuracy 98.38%, recall 99.81% on synthetic data (35k balanced samples).*</w:t>
      </w:r>
    </w:p>
    <w:p>
      <w:pPr>
        <w:pStyle w:val="ListNumber"/>
      </w:pPr>
      <w:r>
        <w:t>Corli, A., et al. (2025). "Quantum machine learning algorithms for anomaly detection: A review." *Future Generation Computer Systems*, 166, 107632. DOI: 10.1016/j.future.2024.107632.</w:t>
      </w:r>
    </w:p>
    <w:p>
      <w:pPr>
        <w:pStyle w:val="ListNumber"/>
      </w:pPr>
      <w:r>
        <w:t>Sakhnenko, A., et al. (2021). "Hybrid Quantum Anomaly Detection with Enhanced Autoencoders." arXiv:2106.07912. — *Foundation for QHack 2022 winning solution (83% fraud identification rate on European Cardholder dataset).*</w:t>
      </w:r>
    </w:p>
    <w:p>
      <w:pPr>
        <w:pStyle w:val="Heading3"/>
      </w:pPr>
      <w:r>
        <w:t>Dataset Publications</w:t>
      </w:r>
    </w:p>
    <w:p>
      <w:pPr>
        <w:pStyle w:val="ListNumber"/>
      </w:pPr>
      <w:r>
        <w:t>Dal Pozzolo, A., et al. (2015). "Calibrating Probability with Undersampling for Unbalanced Classification." *IEEE Symposium on Computational Intelligence and Data Mining*. — *Originating paper for European Cardholder dataset; recommends AUPRC as evaluation metric.*</w:t>
      </w:r>
    </w:p>
    <w:p>
      <w:pPr>
        <w:pStyle w:val="ListNumber"/>
      </w:pPr>
      <w:r>
        <w:t>IEEE-CIS Fraud Detection Dataset. (2019). Kaggle. https://www.kaggle.com/c/ieee-fraud-detection — *Provided by Vesta Corporation.*</w:t>
      </w:r>
    </w:p>
    <w:p>
      <w:pPr>
        <w:pStyle w:val="ListNumber"/>
      </w:pPr>
      <w:r>
        <w:t>Sparkov Synthetic Dataset. Kaggle. https://www.kaggle.com/datasets/kartik2112/fraud-detection</w:t>
      </w:r>
    </w:p>
    <w:p>
      <w:pPr>
        <w:pStyle w:val="Heading3"/>
      </w:pPr>
      <w:r>
        <w:t>Amazon Braket and Quantum Hardware</w:t>
      </w:r>
    </w:p>
    <w:p>
      <w:pPr>
        <w:pStyle w:val="ListNumber"/>
      </w:pPr>
      <w:r>
        <w:t>AWS. (2025). "Amazon Braket — Quantum Computers." https://aws.amazon.com/braket/quantum-computers/ — *Overview of all available QPUs: IonQ, IQM, Rigetti, QuEra, AQT.*</w:t>
      </w:r>
    </w:p>
    <w:p>
      <w:pPr>
        <w:pStyle w:val="ListNumber"/>
      </w:pPr>
      <w:r>
        <w:t>AWS Braket Documentation. (2025). "Choosing a Simulator." https://docs.aws.amazon.com/braket/latest/developerguide/choose-a-simulator.html — *SV1 (34 qubits), TN1 (50 qubits), DM1 (17 qubits with noise modeling).*</w:t>
      </w:r>
    </w:p>
    <w:p>
      <w:pPr>
        <w:pStyle w:val="ListNumber"/>
      </w:pPr>
      <w:r>
        <w:t>AWS Quantum Computing Blog. (2025, March). "IonQ Forte Enterprise on Amazon Braket." https://aws.amazon.com/about-aws/whats-new/2025/03/ionq-forte-enterprise-amazon-braket/ — *36-qubit trapped-ion QPU, 35 Algorithmic Qubits.*</w:t>
      </w:r>
    </w:p>
    <w:p>
      <w:pPr>
        <w:pStyle w:val="ListNumber"/>
      </w:pPr>
      <w:r>
        <w:t>AWS Quantum Computing Blog. (2025, July). "Amazon Braket Launches New 54-Qubit Superconducting Quantum Processor from IQM." https://aws.amazon.com/blogs/quantum-computing/amazon-braket-launches-new-54-qubit-superconducting-quantum-processor-from-iqm/ — *IQM Emerald, 54 qubits, 99.5% 2-qubit gate fidelity.*</w:t>
      </w:r>
    </w:p>
    <w:p>
      <w:pPr>
        <w:pStyle w:val="ListNumber"/>
      </w:pPr>
      <w:r>
        <w:t>AWS Quantum Computing Blog. (2024, August). "Amazon Braket Launches the Rigetti Ankaa-2 Superconducting Device." https://aws.amazon.com/blogs/quantum-computing/amazon-braket-launches-the-rigetti-ankaa-2-superconducting-device-2/ — *84-qubit superconducting QPU, 98% 2-qubit gate fidelity.*</w:t>
      </w:r>
    </w:p>
    <w:p>
      <w:pPr>
        <w:pStyle w:val="ListNumber"/>
      </w:pPr>
      <w:r>
        <w:t>AWS Quantum Computing Blog. (2023). "Amazon Braket Launches IonQ Aria with Built-in Error Mitigation." https://aws.amazon.com/blogs/quantum-computing/amazon-braket-launches-ionq-aria-with-built-in-error-mitigation/ — *25-qubit trapped-ion QPU, debiasing and sharpening error mitigation.*</w:t>
      </w:r>
    </w:p>
    <w:p>
      <w:pPr>
        <w:pStyle w:val="ListNumber"/>
      </w:pPr>
      <w:r>
        <w:t>AWS Quantum Computing Blog. (2022, November). "Amazon Braket Launches Aquila, the First Neutral-Atom Quantum Processor from QuEra Computing." https://aws.amazon.com/blogs/quantum-computing/amazon-braket-launches-aquila-the-first-neutral-atom-quantum-processor-from-quera-computing/ — *256-qubit neutral-atom QPU, analog Hamiltonian simulation.*</w:t>
      </w:r>
    </w:p>
    <w:p>
      <w:pPr>
        <w:pStyle w:val="ListNumber"/>
      </w:pPr>
      <w:r>
        <w:t>AWS Quantum Computing Blog. (2025, November). "Amazon Braket Launches Trapped-Ion Quantum Computer from Alpine Quantum Technologies." https://aws.amazon.com/blogs/quantum-computing/amazon-braket-launches-trapped-ion-quantum-computer-from-alpine-quantum-technologies/ — *AQT IBEX Q1, 12-qubit fully connected trapped-ion system.*</w:t>
      </w:r>
    </w:p>
    <w:p>
      <w:pPr>
        <w:pStyle w:val="Heading3"/>
      </w:pPr>
      <w:r>
        <w:t>Quantum Hardware Case Studies</w:t>
      </w:r>
    </w:p>
    <w:p>
      <w:pPr>
        <w:pStyle w:val="ListNumber"/>
      </w:pPr>
      <w:r>
        <w:t>Aioi Insurance Services USA. (2021, May). "Using Quantum Machine Learning with Amazon Braket to Create a Binary Classifier." AWS Quantum Computing Blog. https://aws.amazon.com/blogs/quantum-computing/aioi-using-quantum-machine-learning-with-amazon-braket-to-create-a-binary-classifier/ — *QNN for insurance risk assessment on IonQ hardware via Amazon Braket.*</w:t>
      </w:r>
    </w:p>
    <w:p>
      <w:pPr>
        <w:pStyle w:val="ListNumber"/>
      </w:pPr>
      <w:r>
        <w:t>Accenture Federal Services + Q-CTRL. (2024, December). "Enhancing Network Security with Quantum Optimization." Q-CTRL Blog. https://q-ctrl.com/blog/enhancing-network-security-with-accenture-federal-services-using-quantum-optimization — *3× improvement in anomaly detection success probability on IonQ hardware via Amazon Braket, using Fire Opal error suppression.*</w:t>
      </w:r>
    </w:p>
    <w:p>
      <w:pPr>
        <w:pStyle w:val="ListNumber"/>
      </w:pPr>
      <w:r>
        <w:t>AWS Quantum Computing Blog. (2022). "QHack 2022 Highlights and Amazon Braket Challenge Winners." https://aws.amazon.com/blogs/quantum-computing/qhack-2022-highlights-and-amazon-braket-challenge-winners-announced/ — *Winning quantum autoencoder achieved 83% fraud identification rate on credit card dataset using Braket SDK.*</w:t>
      </w:r>
    </w:p>
    <w:p>
      <w:pPr>
        <w:pStyle w:val="Heading3"/>
      </w:pPr>
      <w:r>
        <w:t>Technical Resources</w:t>
      </w:r>
    </w:p>
    <w:p>
      <w:pPr>
        <w:pStyle w:val="ListNumber"/>
      </w:pPr>
      <w:r>
        <w:t>Qiskit Machine Learning Documentation. https://qiskit-community.github.io/qiskit-machine-learning/</w:t>
      </w:r>
    </w:p>
    <w:p>
      <w:pPr>
        <w:pStyle w:val="ListNumber"/>
      </w:pPr>
      <w:r>
        <w:t>PennyLane QML Tutorials. https://pennylane.ai/qml/</w:t>
      </w:r>
    </w:p>
    <w:p>
      <w:pPr>
        <w:pStyle w:val="ListNumber"/>
      </w:pPr>
      <w:r>
        <w:t>NVIDIA cuQuantum SDK. https://developer.nvidia.com/cuquantum-sdk</w:t>
      </w:r>
    </w:p>
    <w:p>
      <w:pPr>
        <w:pStyle w:val="ListNumber"/>
      </w:pPr>
      <w:r>
        <w:t>ITensor Documentation. https://itensor.github.io/ITensors.jl/stable/</w:t>
      </w:r>
    </w:p>
    <w:p>
      <w:pPr>
        <w:pStyle w:val="ListNumber"/>
      </w:pPr>
      <w:r>
        <w:t>Amazon Braket SDK Documentation. https://amazon-braket-sdk-python.readthedocs.io/</w:t>
      </w:r>
    </w:p>
    <w:p>
      <w:pPr>
        <w:pStyle w:val="ListNumber"/>
      </w:pPr>
      <w:r>
        <w:t>Amazon Braket Examples (GitHub). https://github.com/amazon-braket/amazon-braket-examples — *Official example notebooks for QPU and simulator usage.*</w:t>
      </w:r>
    </w:p>
    <w:p>
      <w:r>
        <w:t>__________________________________________________</w:t>
      </w:r>
    </w:p>
    <w:p>
      <w:r>
        <w:t>Document Version: 3.0</w:t>
      </w:r>
    </w:p>
    <w:p>
      <w:r>
        <w:t>Challenge Category: Financial Services — Credit Card Fraud Detection</w:t>
      </w:r>
    </w:p>
    <w:p>
      <w:r>
        <w:t>Sponsor Type: Enterprise SME — Theme Sponsor</w:t>
      </w:r>
    </w:p>
    <w:p>
      <w:r>
        <w:t>__________________________________________________</w:t>
      </w:r>
    </w:p>
    <w:p>
      <w:r>
        <w:t>Enterprise Contact: [Challenge Coordinator]</w:t>
      </w:r>
    </w:p>
    <w:p>
      <w:r>
        <w:t>Technical Queries: [Technical Support Email]</w:t>
      </w:r>
    </w:p>
    <w:p>
      <w:r>
        <w:t>Submission Portal: [Platform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