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1473A"/>
          <w:sz w:val="44"/>
        </w:rPr>
        <w:t>Quiz App E2E Localization and Review Flow Report</w:t>
      </w:r>
    </w:p>
    <w:p>
      <w:pPr>
        <w:jc w:val="center"/>
      </w:pPr>
      <w:r>
        <w:rPr>
          <w:i/>
          <w:color w:val="4B5563"/>
          <w:sz w:val="22"/>
        </w:rPr>
        <w:t>Scenario: create account -&gt; publish quiz -&gt; participant submission -&gt; creator answer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Executed on</w:t>
            </w:r>
          </w:p>
        </w:tc>
        <w:tc>
          <w:tcPr>
            <w:tcW w:type="dxa" w:w="4968"/>
          </w:tcPr>
          <w:p>
            <w:r>
              <w:t>2026-04-29 08:24:21</w:t>
            </w:r>
          </w:p>
        </w:tc>
      </w:tr>
      <w:tr>
        <w:tc>
          <w:tcPr>
            <w:tcW w:type="dxa" w:w="4968"/>
          </w:tcPr>
          <w:p>
            <w:r>
              <w:t>Environment</w:t>
            </w:r>
          </w:p>
        </w:tc>
        <w:tc>
          <w:tcPr>
            <w:tcW w:type="dxa" w:w="4968"/>
          </w:tcPr>
          <w:p>
            <w:r>
              <w:t>Local workspace on http://localhost:3000 with API on http://localhost:3001/api</w:t>
            </w:r>
          </w:p>
        </w:tc>
      </w:tr>
      <w:tr>
        <w:tc>
          <w:tcPr>
            <w:tcW w:type="dxa" w:w="4968"/>
          </w:tcPr>
          <w:p>
            <w:r>
              <w:t>Coverage type</w:t>
            </w:r>
          </w:p>
        </w:tc>
        <w:tc>
          <w:tcPr>
            <w:tcW w:type="dxa" w:w="4968"/>
          </w:tcPr>
          <w:p>
            <w:r>
              <w:t>Live browser walkthrough plus dedicated Playwright E2E spec</w:t>
            </w:r>
          </w:p>
        </w:tc>
      </w:tr>
      <w:tr>
        <w:tc>
          <w:tcPr>
            <w:tcW w:type="dxa" w:w="4968"/>
          </w:tcPr>
          <w:p>
            <w:r>
              <w:t>Deliverables</w:t>
            </w:r>
          </w:p>
        </w:tc>
        <w:tc>
          <w:tcPr>
            <w:tcW w:type="dxa" w:w="4968"/>
          </w:tcPr>
          <w:p>
            <w:r>
              <w:t>DOCX report plus captured evidence screenshots under docs/test-artifacts</w:t>
            </w:r>
          </w:p>
        </w:tc>
      </w:tr>
    </w:tbl>
    <w:p/>
    <w:p>
      <w:r>
        <w:rPr>
          <w:b/>
          <w:color w:val="166D3B"/>
          <w:sz w:val="26"/>
        </w:rPr>
        <w:t>Outcome: PASS</w:t>
      </w:r>
    </w:p>
    <w:p>
      <w:r>
        <w:t>The requested end-to-end path completed successfully in the running application. Localization was verified on the login page in both EN and VI, a creator account was created, a quiz was authored and published, a participant submitted an answer, and the creator reviewed that answer in the result detail view.</w:t>
      </w:r>
    </w:p>
    <w:p>
      <w:pPr>
        <w:pStyle w:val="Heading2"/>
      </w:pPr>
      <w:r>
        <w:t>Validation Summary</w:t>
      </w:r>
    </w:p>
    <w:p>
      <w:pPr>
        <w:pStyle w:val="ListBullet"/>
      </w:pPr>
      <w:r>
        <w:t>Web lint: passed (`pnpm.cmd --filter @quiz-app/web lint`).</w:t>
      </w:r>
    </w:p>
    <w:p>
      <w:pPr>
        <w:pStyle w:val="ListBullet"/>
      </w:pPr>
      <w:r>
        <w:t>Web build: passed (`pnpm.cmd --filter @quiz-app/web build`).</w:t>
      </w:r>
    </w:p>
    <w:p>
      <w:pPr>
        <w:pStyle w:val="ListBullet"/>
      </w:pPr>
      <w:r>
        <w:t>Focused E2E automation: passed (`pnpm.cmd --filter @quiz-app/e2e test specs/creator-review-flow.spec.ts`).</w:t>
      </w:r>
    </w:p>
    <w:p>
      <w:pPr>
        <w:pStyle w:val="ListBullet"/>
      </w:pPr>
      <w:r>
        <w:t>Live browser walkthrough with screenshots: passed.</w:t>
      </w:r>
    </w:p>
    <w:p>
      <w:pPr>
        <w:pStyle w:val="ListBullet"/>
      </w:pPr>
      <w:r>
        <w:t>Repo-wide lint/build remain blocked by a pre-existing API TypeScript issue in `apps/api/src/modules/auth/infrastructure/persistence/mongo-user.repository.ts`.</w:t>
      </w:r>
    </w:p>
    <w:p>
      <w:pPr>
        <w:pStyle w:val="Heading2"/>
      </w:pPr>
      <w:r>
        <w:t>Executed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Step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Verified the locale switcher on the login page by capturing EN and VI states.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Created a brand-new creator account and confirmed access to My Quizzes.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Created a one-question quiz, saved it, and published it from management.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Opened the public quiz page as a participant and started the attempt.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Submitted the participant answer and confirmed the result summary screen.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Opened creator results and reviewed the participant answer detail panel.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Re-ran the same flow as an automated Playwright spec.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</w:tbl>
    <w:p>
      <w:pPr>
        <w:pStyle w:val="Heading2"/>
      </w:pPr>
      <w:r>
        <w:t>Figure 1. Login in Vietnamese</w:t>
      </w:r>
    </w:p>
    <w:p>
      <w:r>
        <w:t>Automated evidence showing the login page after switching the locale selector to VI.</w:t>
      </w:r>
    </w:p>
    <w:p>
      <w:r>
        <w:drawing>
          <wp:inline xmlns:a="http://schemas.openxmlformats.org/drawingml/2006/main" xmlns:pic="http://schemas.openxmlformats.org/drawingml/2006/picture">
            <wp:extent cx="5577840" cy="35166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-01-login-v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16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auto-01-login-vi.png</w:t>
      </w:r>
    </w:p>
    <w:p>
      <w:pPr>
        <w:pStyle w:val="Heading2"/>
      </w:pPr>
      <w:r>
        <w:t>Figure 2. Creator Account Created</w:t>
      </w:r>
    </w:p>
    <w:p>
      <w:r>
        <w:t>The new creator account lands in the management area.</w:t>
      </w:r>
    </w:p>
    <w:p>
      <w:r>
        <w:drawing>
          <wp:inline xmlns:a="http://schemas.openxmlformats.org/drawingml/2006/main" xmlns:pic="http://schemas.openxmlformats.org/drawingml/2006/picture">
            <wp:extent cx="5577840" cy="33902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-02-creator-account-cre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9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auto-02-creator-account-created.png</w:t>
      </w:r>
    </w:p>
    <w:p>
      <w:pPr>
        <w:pStyle w:val="Heading2"/>
      </w:pPr>
      <w:r>
        <w:t>Figure 3. Question Builder</w:t>
      </w:r>
    </w:p>
    <w:p>
      <w:r>
        <w:t>The quiz creation flow reaches the question entry step.</w:t>
      </w:r>
    </w:p>
    <w:p>
      <w:r>
        <w:drawing>
          <wp:inline xmlns:a="http://schemas.openxmlformats.org/drawingml/2006/main" xmlns:pic="http://schemas.openxmlformats.org/drawingml/2006/picture">
            <wp:extent cx="5577840" cy="36386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-03-question-bui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38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auto-03-question-builder.png</w:t>
      </w:r>
    </w:p>
    <w:p>
      <w:pPr>
        <w:pStyle w:val="Heading2"/>
      </w:pPr>
      <w:r>
        <w:t>Figure 4. Quiz Published</w:t>
      </w:r>
    </w:p>
    <w:p>
      <w:r>
        <w:t>The authored quiz is visible as Published in management.</w:t>
      </w:r>
    </w:p>
    <w:p>
      <w:r>
        <w:drawing>
          <wp:inline xmlns:a="http://schemas.openxmlformats.org/drawingml/2006/main" xmlns:pic="http://schemas.openxmlformats.org/drawingml/2006/picture">
            <wp:extent cx="5577840" cy="36299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-04-quiz-publish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29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auto-04-quiz-published.png</w:t>
      </w:r>
    </w:p>
    <w:p>
      <w:pPr>
        <w:pStyle w:val="Heading2"/>
      </w:pPr>
      <w:r>
        <w:t>Figure 5. Participant Result</w:t>
      </w:r>
    </w:p>
    <w:p>
      <w:r>
        <w:t>Participant submission completes with a visible score summary.</w:t>
      </w:r>
    </w:p>
    <w:p>
      <w:r>
        <w:drawing>
          <wp:inline xmlns:a="http://schemas.openxmlformats.org/drawingml/2006/main" xmlns:pic="http://schemas.openxmlformats.org/drawingml/2006/picture">
            <wp:extent cx="5577840" cy="3137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-06-participant-res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auto-06-participant-results.png</w:t>
      </w:r>
    </w:p>
    <w:p>
      <w:pPr>
        <w:pStyle w:val="Heading2"/>
      </w:pPr>
      <w:r>
        <w:t>Figure 6. Creator Answer Review</w:t>
      </w:r>
    </w:p>
    <w:p>
      <w:r>
        <w:t>The creator-side result detail shows the participant answer review panel.</w:t>
      </w:r>
    </w:p>
    <w:p>
      <w:r>
        <w:drawing>
          <wp:inline xmlns:a="http://schemas.openxmlformats.org/drawingml/2006/main" xmlns:pic="http://schemas.openxmlformats.org/drawingml/2006/picture">
            <wp:extent cx="5577840" cy="3137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-07-creator-answer-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auto-07-creator-answer-review.png</w:t>
      </w:r>
    </w:p>
    <w:p>
      <w:pPr>
        <w:pStyle w:val="Heading2"/>
      </w:pPr>
      <w:r>
        <w:t>Notes</w:t>
      </w:r>
    </w:p>
    <w:p>
      <w:r>
        <w:t>This report documents both the live walkthrough and the focused automated scenario. The images embedded here were captured during execution and saved under docs/test-artifacts.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47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47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