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Calibri" w:cs="Calibri" w:eastAsia="Calibri" w:hAnsi="Calibri"/>
          <w:b/>
          <w:bCs/>
          <w:caps/>
          <w:color w:val="8B1E3F"/>
          <w:sz w:val="18"/>
          <w:szCs w:val="18"/>
        </w:rPr>
        <w:t xml:space="preserve">INVESTMENT ANALYSIS REPORT — COVERAGE INITIATION</w:t>
      </w:r>
    </w:p>
    <w:p>
      <w:pPr>
        <w:spacing w:after="360"/>
        <w:jc w:val="center"/>
      </w:pPr>
      <w:r>
        <w:rPr>
          <w:rFonts w:ascii="Calibri" w:cs="Calibri" w:eastAsia="Calibri" w:hAnsi="Calibri"/>
          <w:caps/>
          <w:color w:val="6B7280"/>
          <w:sz w:val="18"/>
          <w:szCs w:val="18"/>
        </w:rPr>
        <w:t xml:space="preserve">Vietnamese Traditional Craft Village Investment Series — Report 2 of 2</w:t>
      </w:r>
    </w:p>
    <w:p>
      <w:pPr>
        <w:spacing w:after="200"/>
        <w:jc w:val="center"/>
      </w:pPr>
      <w:r>
        <w:rPr>
          <w:rFonts w:ascii="Calibri" w:cs="Calibri" w:eastAsia="Calibri" w:hAnsi="Calibri"/>
          <w:b/>
          <w:bCs/>
          <w:color w:val="1F2937"/>
          <w:sz w:val="34"/>
          <w:szCs w:val="34"/>
        </w:rPr>
        <w:t xml:space="preserve">Chuôn Ngọ Mother-of-Pearl Inlay Village</w:t>
      </w:r>
    </w:p>
    <w:p>
      <w:pPr>
        <w:spacing w:after="500"/>
        <w:jc w:val="center"/>
      </w:pPr>
      <w:r>
        <w:rPr>
          <w:rFonts w:ascii="Calibri" w:cs="Calibri" w:eastAsia="Calibri" w:hAnsi="Calibri"/>
          <w:b/>
          <w:bCs/>
          <w:color w:val="8B1E3F"/>
          <w:sz w:val="26"/>
          <w:szCs w:val="26"/>
        </w:rPr>
        <w:t xml:space="preserve">Khảm Trai Chuôn Ngọ — Chuyên Mỹ, Phú Xuyên, Hà Nội</w:t>
      </w:r>
    </w:p>
    <w:p>
      <w:pPr>
        <w:spacing w:after="300"/>
        <w:jc w:val="center"/>
      </w:pPr>
      <w:r>
        <w:rPr>
          <w:rFonts w:ascii="Calibri" w:cs="Calibri" w:eastAsia="Calibri" w:hAnsi="Calibri"/>
          <w:i/>
          <w:iCs/>
          <w:color w:val="6B7280"/>
          <w:sz w:val="20"/>
          <w:szCs w:val="20"/>
        </w:rPr>
        <w:t xml:space="preserve">Thương hiệu xuất khẩu giá trị cao nghìn năm tuổi, đối mặt rủi ro ESG và phụ thuộc nguyên liệu nhập khẩu</w:t>
      </w:r>
    </w:p>
    <w:p>
      <w:pPr>
        <w:spacing w:after="300"/>
      </w:pPr>
    </w:p>
    <w:p>
      <w:pPr>
        <w:spacing w:after="40"/>
        <w:jc w:val="center"/>
      </w:pPr>
      <w:r>
        <w:rPr>
          <w:rFonts w:ascii="Calibri" w:cs="Calibri" w:eastAsia="Calibri" w:hAnsi="Calibri"/>
          <w:b/>
          <w:bCs/>
          <w:color w:val="1F2937"/>
          <w:sz w:val="22"/>
          <w:szCs w:val="22"/>
        </w:rPr>
        <w:t xml:space="preserve">KHUYẾN NGHỊ: </w:t>
      </w:r>
      <w:r>
        <w:rPr>
          <w:rFonts w:ascii="Calibri" w:cs="Calibri" w:eastAsia="Calibri" w:hAnsi="Calibri"/>
          <w:b/>
          <w:bCs/>
          <w:color w:val="1B5E3C"/>
          <w:sz w:val="22"/>
          <w:szCs w:val="22"/>
        </w:rPr>
        <w:t xml:space="preserve">OVERWEIGHT — Ưu tiên đầu tư ESG-compliance để bảo vệ giá trị thương hiệu xuất khẩu</w:t>
      </w:r>
    </w:p>
    <w:p>
      <w:pPr>
        <w:spacing w:after="900"/>
      </w:pPr>
    </w:p>
    <w:p>
      <w:pPr>
        <w:spacing w:after="60"/>
        <w:jc w:val="center"/>
      </w:pPr>
      <w:r>
        <w:rPr>
          <w:rFonts w:ascii="Calibri" w:cs="Calibri" w:eastAsia="Calibri" w:hAnsi="Calibri"/>
          <w:b/>
          <w:bCs/>
          <w:sz w:val="20"/>
          <w:szCs w:val="20"/>
        </w:rPr>
        <w:t xml:space="preserve">Thực hiện bởi: Tuấn — Sinh viên ngành Finance &amp; Economics</w:t>
      </w:r>
    </w:p>
    <w:p>
      <w:pPr>
        <w:spacing w:after="60"/>
        <w:jc w:val="center"/>
      </w:pPr>
      <w:r>
        <w:rPr>
          <w:rFonts w:ascii="Calibri" w:cs="Calibri" w:eastAsia="Calibri" w:hAnsi="Calibri"/>
          <w:color w:val="6B7280"/>
          <w:sz w:val="18"/>
          <w:szCs w:val="18"/>
        </w:rPr>
        <w:t xml:space="preserve">Independent Investment Research Project — Draft v1 — Tháng 7/2026</w:t>
      </w:r>
    </w:p>
    <w:p>
      <w:r>
        <w:br w:type="page"/>
      </w:r>
    </w:p>
    <w:p>
      <w:pPr>
        <w:pStyle w:val="Heading1"/>
        <w:pBdr>
          <w:bottom w:val="single" w:color="8B1E3F" w:sz="6" w:space="4"/>
        </w:pBdr>
        <w:spacing w:after="200" w:before="480"/>
      </w:pPr>
      <w:r>
        <w:rPr>
          <w:rFonts w:ascii="Calibri" w:cs="Calibri" w:eastAsia="Calibri" w:hAnsi="Calibri"/>
          <w:b/>
          <w:bCs/>
          <w:color w:val="1F2937"/>
          <w:sz w:val="28"/>
          <w:szCs w:val="28"/>
        </w:rPr>
        <w:t xml:space="preserve">1. Investment Snapshot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Chỉ tiêu</w:t>
            </w:r>
          </w:p>
        </w:tc>
        <w:tc>
          <w:tcPr>
            <w:tcW w:type="dxa" w:w="6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Giá trị</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Vị trí</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Xã Chuyên Mỹ (làng Chuôn Ngọ), huyện Phú Xuyên, Hà Nội</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Lịch sử</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~1.000 năm — tổ nghề Trương Công Thành, tướng nhà Lý, thế kỷ XI-XIII</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Công nhận</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Làng nghề truyền thống được công nhận chính thức; điểm đến du lịch làng nghề (Sở Du lịch Hà Nội)</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Quy mô hộ tham gia nghề</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~70% hộ trong làng Chuôn Ngọ; toàn xã Chuyên Mỹ ~97% hộ sống bằng nghề khảm</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Doanh thu tiểu thủ công nghiệp</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~265 tỷ VNĐ/năm (số liệu 2005 — cần cập nhật, xem giới hạn dữ liệu)</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Thu nhập bình quân hộ</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~50-70 triệu VNĐ/hộ/năm</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Thị trường xuất khẩu</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Đài Loan, Nhật Bản, Anh, Mỹ, Pháp, Hà Lan</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Điểm sàng lọc (Dashboard, thang 5)</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4.05/5 — Xếp hạng 1/10 trong longlist</w:t>
            </w:r>
          </w:p>
        </w:tc>
      </w:tr>
    </w:tbl>
    <w:p>
      <w:pPr>
        <w:spacing w:after="100"/>
      </w:pPr>
    </w:p>
    <w:p>
      <w:pPr>
        <w:spacing w:after="150" w:line="270"/>
        <w:jc w:val="both"/>
      </w:pPr>
      <w:r>
        <w:rPr>
          <w:rFonts w:ascii="Calibri" w:cs="Calibri" w:eastAsia="Calibri" w:hAnsi="Calibri"/>
          <w:b/>
          <w:bCs/>
          <w:color w:val="1F2937"/>
          <w:sz w:val="20"/>
          <w:szCs w:val="20"/>
        </w:rPr>
        <w:t xml:space="preserve">Luận điểm đầu tư (1 câu): </w:t>
      </w:r>
      <w:r>
        <w:rPr>
          <w:rFonts w:ascii="Calibri" w:cs="Calibri" w:eastAsia="Calibri" w:hAnsi="Calibri"/>
          <w:sz w:val="20"/>
          <w:szCs w:val="20"/>
        </w:rPr>
        <w:t xml:space="preserve">Chuôn Ngọ sở hữu moat kỹ nghệ mạnh nhất trong longlist (kỹ thuật khảm tinh xảo tích luỹ nghìn năm, khó sao chép) và đã chứng minh khả năng xuất khẩu tới các thị trường cao cấp — nhưng giá trị thương hiệu dài hạn đang bị đe doạ bởi rủi ro môi trường chưa được xử lý và phụ thuộc nguyên liệu nhập khẩu.</w:t>
      </w:r>
    </w:p>
    <w:p>
      <w:pPr>
        <w:spacing w:after="150" w:line="270"/>
        <w:jc w:val="both"/>
      </w:pPr>
      <w:r>
        <w:rPr>
          <w:rFonts w:ascii="Calibri" w:cs="Calibri" w:eastAsia="Calibri" w:hAnsi="Calibri"/>
          <w:b/>
          <w:bCs/>
          <w:color w:val="1F2937"/>
          <w:sz w:val="20"/>
          <w:szCs w:val="20"/>
        </w:rPr>
        <w:t xml:space="preserve">Rủi ro trọng yếu: </w:t>
      </w:r>
      <w:r>
        <w:rPr>
          <w:rFonts w:ascii="Calibri" w:cs="Calibri" w:eastAsia="Calibri" w:hAnsi="Calibri"/>
          <w:sz w:val="20"/>
          <w:szCs w:val="20"/>
        </w:rPr>
        <w:t xml:space="preserve">Ô nhiễm môi trường từ bụi mài/xử lý vỏ trai (ghi nhận trên báo chí trong nước) là rủi ro ESG có thể ảnh hưởng trực tiếp tới khả năng duy trì đơn hàng từ các thị trường xuất khẩu khó tính (Nhật Bản, EU) vốn ngày càng siết chặt tiêu chuẩn ESG với nhà cung cấp.</w:t>
      </w:r>
    </w:p>
    <w:p>
      <w:pPr>
        <w:pStyle w:val="Heading1"/>
        <w:pBdr>
          <w:bottom w:val="single" w:color="8B1E3F" w:sz="6" w:space="4"/>
        </w:pBdr>
        <w:spacing w:after="200" w:before="480"/>
      </w:pPr>
      <w:r>
        <w:rPr>
          <w:rFonts w:ascii="Calibri" w:cs="Calibri" w:eastAsia="Calibri" w:hAnsi="Calibri"/>
          <w:b/>
          <w:bCs/>
          <w:color w:val="1F2937"/>
          <w:sz w:val="28"/>
          <w:szCs w:val="28"/>
        </w:rPr>
        <w:t xml:space="preserve">2. Village &amp; Craft Overview</w:t>
      </w:r>
    </w:p>
    <w:p>
      <w:pPr>
        <w:spacing w:after="150" w:line="270"/>
        <w:jc w:val="both"/>
      </w:pPr>
      <w:r>
        <w:rPr>
          <w:rFonts w:ascii="Calibri" w:cs="Calibri" w:eastAsia="Calibri" w:hAnsi="Calibri"/>
          <w:sz w:val="20"/>
          <w:szCs w:val="20"/>
        </w:rPr>
        <w:t xml:space="preserve">Chuôn Ngọ thuộc xã Chuyên Mỹ, huyện Phú Xuyên, là một trong những trung tâm khảm trai/khảm ốc lâu đời và nổi tiếng nhất miền Bắc, với lịch sử được ghi nhận từ thế kỷ XI-XIII qua tổ nghề Trương Công Thành. Nghề khảm trai bắt đầu hưng thịnh về thương mại từ hơn 100 năm trước, khi sản phẩm được các lái buôn từ Huế, Quảng Ngãi thu mua đưa lên kinh thành.</w:t>
      </w:r>
    </w:p>
    <w:p>
      <w:pPr>
        <w:spacing w:after="150" w:line="270"/>
        <w:jc w:val="both"/>
      </w:pPr>
      <w:r>
        <w:rPr>
          <w:rFonts w:ascii="Calibri" w:cs="Calibri" w:eastAsia="Calibri" w:hAnsi="Calibri"/>
          <w:sz w:val="20"/>
          <w:szCs w:val="20"/>
        </w:rPr>
        <w:t xml:space="preserve">Ba mươi năm trở lại đây, nghề phát triển mạnh theo hướng xuất khẩu, với sản phẩm chủ lực là đồ nội thất khảm trai/ốc cao cấp (tủ chè, sập gụ, tranh khảm) có giá trị từ vài chục triệu đến hàng tỷ đồng mỗi tác phẩm tuỳ độ tinh xảo và chất liệu. Đây là một trong số ít làng nghề miền Bắc có tỷ trọng xuất khẩu sang thị trường phát triển (Nhật Bản, Anh, Mỹ, Pháp, Hà Lan) tương đối cao và ổn định trong dài hạn.</w:t>
      </w:r>
    </w:p>
    <w:p>
      <w:pPr>
        <w:spacing w:after="150" w:line="270"/>
        <w:jc w:val="both"/>
      </w:pPr>
      <w:r>
        <w:rPr>
          <w:rFonts w:ascii="Calibri" w:cs="Calibri" w:eastAsia="Calibri" w:hAnsi="Calibri"/>
          <w:sz w:val="20"/>
          <w:szCs w:val="20"/>
        </w:rPr>
        <w:t xml:space="preserve">Về tổ chức, với 97% hộ dân toàn xã sống bằng nghề khảm, đây là một trong những làng nghề có mức độ phụ thuộc kinh tế vào một ngành nghề duy nhất cao nhất trong longlist — vừa là điểm mạnh (chuyên môn hoá sâu, mật độ nghệ nhân cao) vừa là rủi ro tập trung (thiếu đa dạng hoá sinh kế nếu nhu cầu thị trường suy giảm).</w:t>
      </w:r>
    </w:p>
    <w:p>
      <w:pPr>
        <w:pStyle w:val="Heading1"/>
        <w:pBdr>
          <w:bottom w:val="single" w:color="8B1E3F" w:sz="6" w:space="4"/>
        </w:pBdr>
        <w:spacing w:after="200" w:before="480"/>
      </w:pPr>
      <w:r>
        <w:rPr>
          <w:rFonts w:ascii="Calibri" w:cs="Calibri" w:eastAsia="Calibri" w:hAnsi="Calibri"/>
          <w:b/>
          <w:bCs/>
          <w:color w:val="1F2937"/>
          <w:sz w:val="28"/>
          <w:szCs w:val="28"/>
        </w:rPr>
        <w:t xml:space="preserve">3. Market Position &amp; TAM/SAM/SOM</w:t>
      </w:r>
    </w:p>
    <w:p>
      <w:pPr>
        <w:spacing w:after="150" w:line="270"/>
        <w:jc w:val="both"/>
      </w:pPr>
      <w:r>
        <w:rPr>
          <w:rFonts w:ascii="Calibri" w:cs="Calibri" w:eastAsia="Calibri" w:hAnsi="Calibri"/>
          <w:sz w:val="20"/>
          <w:szCs w:val="20"/>
        </w:rPr>
        <w:t xml:space="preserve">Chuôn Ngọ cạnh tranh ở phân khúc đồ nội thất/mỹ nghệ khảm trai cao cấp — một phân khúc có rào cản kỹ nghệ rất cao, hạn chế đáng kể mức độ cạnh tranh trực tiếp so với các nhóm sản phẩm phổ thông hơn như gốm gia dụng hay mây tre đan.</w:t>
      </w:r>
    </w:p>
    <w:p>
      <w:pPr>
        <w:spacing w:after="150" w:line="270"/>
        <w:jc w:val="both"/>
      </w:pPr>
      <w:r>
        <w:rPr>
          <w:rFonts w:ascii="Calibri" w:cs="Calibri" w:eastAsia="Calibri" w:hAnsi="Calibri"/>
          <w:sz w:val="20"/>
          <w:szCs w:val="20"/>
        </w:rPr>
        <w:t xml:space="preserve">Vị thế xuất khẩu tới các thị trường phát triển (Nhật Bản, Anh, Mỹ, Pháp, Hà Lan, Đài Loan) là một chỉ dấu quan trọng cho thấy sản phẩm đã vượt qua được rào cản chất lượng và tiêu chuẩn của các thị trường khó tính — một lợi thế cạnh tranh mà phần lớn làng nghề trong longlist chưa đạt được ở cùng mức độ.</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300"/>
      </w:tblGrid>
      <w:tr>
        <w:trPr>
          <w:tblHeader/>
        </w:trPr>
        <w:tc>
          <w:tcPr>
            <w:tcW w:type="dxa" w:w="15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Cấp độ</w:t>
            </w:r>
          </w:p>
        </w:tc>
        <w:tc>
          <w:tcPr>
            <w:tcW w:type="dxa" w:w="3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Ước tính</w:t>
            </w:r>
          </w:p>
        </w:tc>
        <w:tc>
          <w:tcPr>
            <w:tcW w:type="dxa" w:w="43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Ghi chú</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TAM (tham chiếu)</w:t>
            </w:r>
          </w:p>
        </w:tc>
        <w:tc>
          <w:tcPr>
            <w:tcW w:type="dxa" w:w="3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SAM ngành ~800tr-1,2 tỷ USD (theo Industry Report)</w:t>
            </w:r>
          </w:p>
        </w:tc>
        <w:tc>
          <w:tcPr>
            <w:tcW w:type="dxa" w:w="4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Phân khúc đồ nội thất/mỹ nghệ khảm trai nằm trong nhóm sản phẩm giá trị đơn vị cao của SAM ngành</w:t>
            </w:r>
          </w:p>
        </w:tc>
      </w:tr>
      <w:tr>
        <w:tc>
          <w:tcPr>
            <w:tcW w:type="dxa" w:w="15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SAM (Chuôn Ngọ)</w:t>
            </w:r>
          </w:p>
        </w:tc>
        <w:tc>
          <w:tcPr>
            <w:tcW w:type="dxa" w:w="3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Phân khúc nội thất/quà tặng khảm trai-ốc cao cấp tại các thị trường đã có hiện diện xuất khẩu (Nhật, Anh, Mỹ, Pháp, Hà Lan, Đài Loan)</w:t>
            </w:r>
          </w:p>
        </w:tc>
        <w:tc>
          <w:tcPr>
            <w:tcW w:type="dxa" w:w="4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Ước tính dựa trên việc làng đã có kênh xuất khẩu ổn định tới các thị trường này, không phải thị trường mới cần khai phá từ đầu</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SOM (Chuôn Ngọ, 3-5 năm)</w:t>
            </w:r>
          </w:p>
        </w:tc>
        <w:tc>
          <w:tcPr>
            <w:tcW w:type="dxa" w:w="3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Dư địa tăng trưởng phụ thuộc năng lực mở rộng sản xuất trong giới hạn nguồn nhân lực nghệ nhân và khả năng đảm bảo tiêu chuẩn ESG cho khách hàng xuất khẩu</w:t>
            </w:r>
          </w:p>
        </w:tc>
        <w:tc>
          <w:tcPr>
            <w:tcW w:type="dxa" w:w="4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Giả định phân tích — cần khảo sát năng lực sản xuất hiện tại và đơn hàng tồn đọng (backlog) để định lượng chính xác</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4. Chuỗi Giá Trị &amp; Business Model Canvas</w:t>
      </w:r>
    </w:p>
    <w:p>
      <w:pPr>
        <w:pStyle w:val="Heading2"/>
        <w:spacing w:after="130" w:before="300"/>
      </w:pPr>
      <w:r>
        <w:rPr>
          <w:rFonts w:ascii="Calibri" w:cs="Calibri" w:eastAsia="Calibri" w:hAnsi="Calibri"/>
          <w:b/>
          <w:bCs/>
          <w:color w:val="8B1E3F"/>
          <w:sz w:val="23"/>
          <w:szCs w:val="23"/>
        </w:rPr>
        <w:t xml:space="preserve">4.1. Vị trí trong chuỗi giá trị</w:t>
      </w:r>
    </w:p>
    <w:p>
      <w:pPr>
        <w:spacing w:after="150" w:line="270"/>
        <w:jc w:val="both"/>
      </w:pPr>
      <w:r>
        <w:rPr>
          <w:rFonts w:ascii="Calibri" w:cs="Calibri" w:eastAsia="Calibri" w:hAnsi="Calibri"/>
          <w:sz w:val="20"/>
          <w:szCs w:val="20"/>
        </w:rPr>
        <w:t xml:space="preserve">Chuôn Ngọ tham gia sâu vào nhiều khâu của chuỗi giá trị hơn Kim Lan: từ nguyên liệu (thu gom trong nước + nhập khẩu), sản xuất thủ công tinh xảo, thiết kế hoa văn, đến một phần thương hiệu và phân phối trực tiếp cho khách xuất khẩu. Điểm nghẽn lớn nhất nằm ở khâu nguyên liệu (phụ thuộc nhập khẩu từ Hồng Kông, Nhật Bản, Trung Quốc, Singapore) và khâu môi trường sản xuất (xử lý bụi/chất thải từ chế tác vỏ trai).</w:t>
      </w:r>
    </w:p>
    <w:p>
      <w:pPr>
        <w:pStyle w:val="Heading2"/>
        <w:spacing w:after="130" w:before="300"/>
      </w:pPr>
      <w:r>
        <w:rPr>
          <w:rFonts w:ascii="Calibri" w:cs="Calibri" w:eastAsia="Calibri" w:hAnsi="Calibri"/>
          <w:b/>
          <w:bCs/>
          <w:color w:val="8B1E3F"/>
          <w:sz w:val="23"/>
          <w:szCs w:val="23"/>
        </w:rPr>
        <w:t xml:space="preserve">4.2. Business Model Canvas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Khối</w:t>
            </w:r>
          </w:p>
        </w:tc>
        <w:tc>
          <w:tcPr>
            <w:tcW w:type="dxa" w:w="5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Nội dung</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Đối tác chính</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Nhà nhập khẩu/phân phối tại Nhật Bản, Anh, Mỹ, Pháp, Hà Lan, Đài Loan; nhà cung cấp vỏ trai/ốc trong nước và quốc tế (Hồng Kông, Singapore)</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Hoạt động chính</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Chế tác khảm trai/ốc thủ công tinh xảo, thiết kế hoa văn, hoàn thiện sản phẩm nội thất cao cấp</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Nguồn lực chính</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Đội ngũ nghệ nhân tay nghề cao (~70-97% hộ dân xã Chuyên Mỹ), bí quyết kỹ nghệ tích luỹ nghìn năm, mạng lưới khách hàng xuất khẩu đã thiết lập</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Giá trị đề xuất</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Sản phẩm nội thất/mỹ nghệ khảm trai tinh xảo, độc bản, giá trị cao — khó sao chép bởi đối thủ không có tích luỹ kỹ nghệ tương đương</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Quan hệ khách hàng</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Quan hệ B2B dài hạn với nhà nhập khẩu/phân phối nước ngoài; đơn đặt hàng theo yêu cầu (bespoke) cho phân khúc cao cấp</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Kênh phân phối</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Xuất khẩu trực tiếp/qua nhà phân phối tới Nhật, Anh, Mỹ, Pháp, Hà Lan, Đài Loan; bán lẻ nội địa tại làng nghề/showroom</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Phân khúc khách hàng</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Nhà sưu tầm và người tiêu dùng cao cấp tại thị trường phát triển; khách du lịch/người tiêu dùng nội địa có thu nhập cao</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Cấu trúc chi phí</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Chi phí nguyên liệu cao và biến động (phụ thuộc nhập khẩu); chi phí nhân công tay nghề cao là cấu phần lớn; chưa có chi phí xử lý môi trường bài bản</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Dòng doanh thu</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Bán sản phẩm nội thất/quà tặng khảm trai (nội địa + xuất khẩu); đơn hàng theo yêu cầu giá trị cao</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5. Competitive Advantage &amp; Moat Analysis</w:t>
      </w:r>
    </w:p>
    <w:p>
      <w:pPr>
        <w:spacing w:after="150" w:line="270"/>
        <w:jc w:val="both"/>
      </w:pPr>
      <w:r>
        <w:rPr>
          <w:rFonts w:ascii="Calibri" w:cs="Calibri" w:eastAsia="Calibri" w:hAnsi="Calibri"/>
          <w:sz w:val="20"/>
          <w:szCs w:val="20"/>
        </w:rPr>
        <w:t xml:space="preserve">Moat của Chuôn Ngọ là moat kỹ nghệ thuần tuý (craft-skill moat) — kỹ thuật khảm trai tinh xảo đòi hỏi thời gian đào tạo dài, khó tự động hoá hay sao chép hàng loạt, và được củng cố bởi mật độ nghệ nhân cực cao trong cộng đồng (97% hộ dân toàn xã). Đây là dạng moat bền vững nhất trong toàn bộ longlist vì không thể phá vỡ bằng vốn hay quy mô, chỉ có thể xói mòn qua mất mát tri thức truyền nghề.</w:t>
      </w:r>
    </w:p>
    <w:p>
      <w:pPr>
        <w:spacing w:after="150" w:line="270"/>
        <w:jc w:val="both"/>
      </w:pPr>
      <w:r>
        <w:rPr>
          <w:rFonts w:ascii="Calibri" w:cs="Calibri" w:eastAsia="Calibri" w:hAnsi="Calibri"/>
          <w:sz w:val="20"/>
          <w:szCs w:val="20"/>
        </w:rPr>
        <w:t xml:space="preserve">Moat này đã được kiểm chứng bởi thị trường: khả năng duy trì xuất khẩu ổn định tới các thị trường khó tính (Nhật Bản, EU) trong nhiều năm là bằng chứng gián tiếp cho thấy sản phẩm đáp ứng được tiêu chuẩn chất lượng quốc tế — một ngưỡng mà phần lớn làng nghề khác trong longlist chưa vượt qua.</w:t>
      </w:r>
    </w:p>
    <w:p>
      <w:pPr>
        <w:spacing w:after="150" w:line="270"/>
        <w:jc w:val="both"/>
      </w:pPr>
      <w:r>
        <w:rPr>
          <w:rFonts w:ascii="Calibri" w:cs="Calibri" w:eastAsia="Calibri" w:hAnsi="Calibri"/>
          <w:sz w:val="20"/>
          <w:szCs w:val="20"/>
        </w:rPr>
        <w:t xml:space="preserve">Rủi ro xói mòn moat quan trọng nhất không đến từ cạnh tranh sản phẩm, mà từ rủi ro ESG: nếu vấn đề ô nhiễm môi trường không được xử lý, các nhà nhập khẩu tại thị trường phát triển (đặc biệt EU, Nhật Bản — nơi tiêu chuẩn ESG chuỗi cung ứng ngày càng khắt khe) có thể giảm hoặc ngừng đặt hàng, bất kể chất lượng sản phẩm.</w:t>
      </w:r>
    </w:p>
    <w:p>
      <w:pPr>
        <w:pStyle w:val="Heading1"/>
        <w:pBdr>
          <w:bottom w:val="single" w:color="8B1E3F" w:sz="6" w:space="4"/>
        </w:pBdr>
        <w:spacing w:after="200" w:before="480"/>
      </w:pPr>
      <w:r>
        <w:rPr>
          <w:rFonts w:ascii="Calibri" w:cs="Calibri" w:eastAsia="Calibri" w:hAnsi="Calibri"/>
          <w:b/>
          <w:bCs/>
          <w:color w:val="1F2937"/>
          <w:sz w:val="28"/>
          <w:szCs w:val="28"/>
        </w:rPr>
        <w:t xml:space="preserve">6. SWOT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8B1E3F"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Strengths</w:t>
            </w:r>
          </w:p>
        </w:tc>
        <w:tc>
          <w:tcPr>
            <w:tcW w:type="dxa" w:w="4900"/>
            <w:shd w:fill="8B1E3F"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Weaknesses</w:t>
            </w:r>
          </w:p>
        </w:tc>
      </w:tr>
      <w:tr>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Kỹ nghệ khảm trai tinh xảo tích luỹ nghìn năm, khó sao chép; mật độ nghệ nhân rất cao (97% hộ dân); đã có kênh xuất khẩu ổn định tới nhiều thị trường phát triển; sản phẩm giá trị đơn vị cao, biên lợi nhuận tiềm năng lớn.</w:t>
            </w:r>
          </w:p>
        </w:tc>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Phụ thuộc nguyên liệu nhập khẩu (Hồng Kông, Nhật, Trung Quốc, Singapore) khiến chi phí đầu vào biến động; số liệu doanh thu công khai đã cũ (2005), thiếu minh bạch tài chính cập nhật; chưa có hệ thống xử lý môi trường bài bản.</w:t>
            </w:r>
          </w:p>
        </w:tc>
      </w:tr>
    </w:tbl>
    <w:p>
      <w:pPr>
        <w:spacing w:after="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Opportunities</w:t>
            </w:r>
          </w:p>
        </w:tc>
        <w:tc>
          <w:tcPr>
            <w:tcW w:type="dxa" w:w="4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Threats</w:t>
            </w:r>
          </w:p>
        </w:tc>
      </w:tr>
      <w:tr>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Nhu cầu toàn cầu với sản phẩm thủ công cao cấp/độc bản đang tăng (xu hướng "quiet luxury", hàng thủ công có câu chuyện); khả năng mở rộng thị trường xuất khẩu mới ngoài 6 thị trường hiện tại; chương trình OCOP hỗ trợ xúc tiến thương mại.</w:t>
            </w:r>
          </w:p>
        </w:tc>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Rủi ro mất đơn hàng xuất khẩu nếu không đáp ứng tiêu chuẩn ESG ngày càng khắt khe tại thị trường phát triển; biến động giá/nguồn cung nguyên liệu nhập khẩu; ô nhiễm môi trường kéo dài có thể dẫn tới hạn chế sản xuất từ cơ quan quản lý.</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7. Financial &amp; Economic Feasibility</w:t>
      </w:r>
    </w:p>
    <w:p>
      <w:pPr>
        <w:spacing w:after="150" w:line="270"/>
        <w:jc w:val="both"/>
      </w:pPr>
      <w:r>
        <w:rPr>
          <w:rFonts w:ascii="Calibri" w:cs="Calibri" w:eastAsia="Calibri" w:hAnsi="Calibri"/>
          <w:sz w:val="20"/>
          <w:szCs w:val="20"/>
        </w:rPr>
        <w:t xml:space="preserve">Số liệu doanh thu tiểu thủ công nghiệp công khai gần nhất (265 tỷ VNĐ/năm) có từ năm 2005 — đây là giới hạn dữ liệu quan trọng cần nêu rõ, vì quy mô kinh tế thực tế của làng nhiều khả năng đã thay đổi đáng kể sau 20 năm, đặc biệt khi xuất khẩu đã mở rộng thêm nhiều thị trường trong giai đoạn này. Số liệu thu nhập hộ (50-70 triệu VNĐ/năm) được xem là chỉ báo đáng tin cậy hơn vì được trích dẫn trong nguồn gần đây.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800"/>
      </w:tblGrid>
      <w:tr>
        <w:trPr>
          <w:tblHeader/>
        </w:trPr>
        <w:tc>
          <w:tcPr>
            <w:tcW w:type="dxa" w:w="3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Chỉ tiêu proxy</w:t>
            </w:r>
          </w:p>
        </w:tc>
        <w:tc>
          <w:tcPr>
            <w:tcW w:type="dxa" w:w="2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Ước tính</w:t>
            </w:r>
          </w:p>
        </w:tc>
        <w:tc>
          <w:tcPr>
            <w:tcW w:type="dxa" w:w="3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Nguồn / Phương pháp</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Doanh thu tiểu thủ công nghiệp toàn xã</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~265 tỷ VNĐ/năm</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VCCI News — số liệu năm 2005, CẦN CẬP NHẬT bằng khảo sát trực tiếp, không nên dùng để suy diễn quy mô hiện tại</w:t>
            </w:r>
          </w:p>
        </w:tc>
      </w:tr>
      <w:tr>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Thu nhập bình quân hộ/năm</w:t>
            </w:r>
          </w:p>
        </w:tc>
        <w:tc>
          <w:tcPr>
            <w:tcW w:type="dxa" w:w="2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50-70 triệu VNĐ/hộ/năm</w:t>
            </w:r>
          </w:p>
        </w:tc>
        <w:tc>
          <w:tcPr>
            <w:tcW w:type="dxa" w:w="3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VCCI News — nguồn gần đây hơn, độ tin cậy cao hơn số liệu doanh thu tổng</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Số hộ tạo việc làm ổn định</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Hơn 1.000 hộ tại địa phương + hàng nghìn lao động ngoài xã</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VCCI News</w:t>
            </w:r>
          </w:p>
        </w:tc>
      </w:tr>
      <w:tr>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Biên giá sản phẩm</w:t>
            </w:r>
          </w:p>
        </w:tc>
        <w:tc>
          <w:tcPr>
            <w:tcW w:type="dxa" w:w="2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Từ 15 triệu đến hàng tỷ VNĐ/tác phẩm tuỳ độ tinh xảo và chất liệu (ốc đỏ cao cấp: 80-200 triệu VNĐ/tủ chè)</w:t>
            </w:r>
          </w:p>
        </w:tc>
        <w:tc>
          <w:tcPr>
            <w:tcW w:type="dxa" w:w="3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Khảo sát giá thị trường qua các nguồn công bố — chỉ báo biên độ, không phải giá bán bình quân thực tế</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8. ESG Assessment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600"/>
      </w:tblGrid>
      <w:tr>
        <w:trPr>
          <w:tblHeader/>
        </w:trPr>
        <w:tc>
          <w:tcPr>
            <w:tcW w:type="dxa" w:w="1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Trụ cột</w:t>
            </w:r>
          </w:p>
        </w:tc>
        <w:tc>
          <w:tcPr>
            <w:tcW w:type="dxa" w:w="10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Điểm (/5)</w:t>
            </w:r>
          </w:p>
        </w:tc>
        <w:tc>
          <w:tcPr>
            <w:tcW w:type="dxa" w:w="7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Đánh giá</w:t>
            </w:r>
          </w:p>
        </w:tc>
      </w:tr>
      <w:tr>
        <w:tc>
          <w:tcPr>
            <w:tcW w:type="dxa" w:w="1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E</w:t>
            </w:r>
          </w:p>
        </w:tc>
        <w:tc>
          <w:tcPr>
            <w:tcW w:type="dxa" w:w="10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2</w:t>
            </w:r>
          </w:p>
        </w:tc>
        <w:tc>
          <w:tcPr>
            <w:tcW w:type="dxa" w:w="7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Rủi ro môi trường đáng kể từ bụi mài và xử lý vỏ trai/ốc, được báo chí trong nước ghi nhận trực tiếp ("kinh tế phát đạt, ngột ngạt môi trường") — đây là điểm ESG yếu nhất trong hai case study và cần ưu tiên can thiệp.</w:t>
            </w:r>
          </w:p>
        </w:tc>
      </w:tr>
      <w:tr>
        <w:tc>
          <w:tcPr>
            <w:tcW w:type="dxa" w:w="1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w:t>
            </w:r>
          </w:p>
        </w:tc>
        <w:tc>
          <w:tcPr>
            <w:tcW w:type="dxa" w:w="10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4</w:t>
            </w:r>
          </w:p>
        </w:tc>
        <w:tc>
          <w:tcPr>
            <w:tcW w:type="dxa" w:w="7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Tạo việc làm cho phần lớn dân số xã (97% hộ), thu nhập hộ tương đối cao so với mặt bằng làng nghề (50-70 triệu/năm); rủi ro xã hội chủ yếu là mức độ phụ thuộc kinh tế cao vào một ngành nghề duy nhất.</w:t>
            </w:r>
          </w:p>
        </w:tc>
      </w:tr>
      <w:tr>
        <w:tc>
          <w:tcPr>
            <w:tcW w:type="dxa" w:w="1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w:t>
            </w:r>
          </w:p>
        </w:tc>
        <w:tc>
          <w:tcPr>
            <w:tcW w:type="dxa" w:w="10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3</w:t>
            </w:r>
          </w:p>
        </w:tc>
        <w:tc>
          <w:tcPr>
            <w:tcW w:type="dxa" w:w="7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Có công nhận làng nghề truyền thống và định vị du lịch chính thức từ Sở Du lịch Hà Nội, nhưng thiếu cơ chế quản trị/giám sát môi trường cấp làng — khoảng trống quản trị rõ rệt nhất trong ESG assessment.</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9. Risk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400"/>
      </w:tblGrid>
      <w:tr>
        <w:trPr>
          <w:tblHeader/>
        </w:trPr>
        <w:tc>
          <w:tcPr>
            <w:tcW w:type="dxa" w:w="2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Rủi ro</w:t>
            </w:r>
          </w:p>
        </w:tc>
        <w:tc>
          <w:tcPr>
            <w:tcW w:type="dxa" w:w="13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Xác suất</w:t>
            </w:r>
          </w:p>
        </w:tc>
        <w:tc>
          <w:tcPr>
            <w:tcW w:type="dxa" w:w="13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Ảnh hưởng</w:t>
            </w:r>
          </w:p>
        </w:tc>
        <w:tc>
          <w:tcPr>
            <w:tcW w:type="dxa" w:w="44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Biện pháp giảm thiểu</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Ô nhiễm môi trường từ bụi mài/xử lý vỏ trai</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Đầu tư hệ thống xử lý bụi/nước thải tập trung cấp cụm hộ sản xuất; xây quy chuẩn an toàn lao động tối thiểu</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Phụ thuộc nguyên liệu nhập khẩu biến động giá</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Trung bình</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4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Đánh giá khả năng đa dạng hoá nguồn cung hoặc vật liệu thay thế; đàm phán hợp đồng dài hạn với nhà cung cấp chính</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Rủi ro mất đơn hàng xuất khẩu do tiêu chuẩn ESG khắt khe hơn</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Trung bình</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Chủ động xây dựng hồ sơ tuân thủ ESG (dù ở quy mô làng nghề) để giữ chân khách hàng thị trường phát triển</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Số liệu tài chính công khai đã lỗi thời (2005)</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Trung bình</w:t>
            </w:r>
          </w:p>
        </w:tc>
        <w:tc>
          <w:tcPr>
            <w:tcW w:type="dxa" w:w="4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Khảo sát cập nhật doanh thu/xuất khẩu trực tiếp từ hợp tác xã và hộ sản xuất lớn trong Phase 3</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10. Investment Thesis &amp; Recommendation</w:t>
      </w:r>
    </w:p>
    <w:p>
      <w:pPr>
        <w:spacing w:after="150" w:line="270"/>
        <w:jc w:val="both"/>
      </w:pPr>
      <w:r>
        <w:rPr>
          <w:rFonts w:ascii="Calibri" w:cs="Calibri" w:eastAsia="Calibri" w:hAnsi="Calibri"/>
          <w:sz w:val="20"/>
          <w:szCs w:val="20"/>
        </w:rPr>
        <w:t xml:space="preserve">Chuôn Ngọ là làng nghề có nền tảng kinh tế và moat kỹ nghệ mạnh nhất trong longlist sàng lọc — bằng chứng là vị trí xếp hạng 1/10 trong ma trận điểm số Dashboard. Khác với phần lớn làng nghề khác vẫn loay hoay tìm kênh xuất khẩu, Chuôn Ngọ đã chứng minh được khả năng cạnh tranh ở các thị trường phát triển trong nhiều năm.</w:t>
      </w:r>
    </w:p>
    <w:p>
      <w:pPr>
        <w:spacing w:after="150" w:line="270"/>
        <w:jc w:val="both"/>
      </w:pPr>
      <w:r>
        <w:rPr>
          <w:rFonts w:ascii="Calibri" w:cs="Calibri" w:eastAsia="Calibri" w:hAnsi="Calibri"/>
          <w:sz w:val="20"/>
          <w:szCs w:val="20"/>
        </w:rPr>
        <w:t xml:space="preserve">Tuy nhiên, đây không phải một luận điểm đầu tư "an toàn tuyệt đối": rủi ro ESG (môi trường) là rủi ro thực tế đã được ghi nhận, không phải giả định lý thuyết, và có khả năng ảnh hưởng trực tiếp tới chính nguồn thu nhập xuất khẩu tạo nên giá trị của làng nghề này. Đây là ví dụ điển hình cho luận điểm rằng ESG không phải yếu tố "đạo đức phụ trợ" mà là yếu tố định giá cốt lõi trong bối cảnh chuỗi cung ứng xuất khẩu hiện đại.</w:t>
      </w:r>
    </w:p>
    <w:p>
      <w:pPr>
        <w:spacing w:after="150" w:line="270"/>
        <w:jc w:val="both"/>
      </w:pPr>
      <w:r>
        <w:rPr>
          <w:rFonts w:ascii="Calibri" w:cs="Calibri" w:eastAsia="Calibri" w:hAnsi="Calibri"/>
          <w:sz w:val="20"/>
          <w:szCs w:val="20"/>
        </w:rPr>
        <w:t xml:space="preserve">Khuyến nghị: OVERWEIGHT — làng nghề hấp dẫn nhất trong longlist về nền tảng kinh tế và moat, nhưng khuyến nghị đi kèm điều kiện ưu tiên: mọi khoản đầu tư/can thiệp nên dành ưu tiên hàng đầu cho compliance môi trường trước khi mở rộng quy mô sản xuất hay thị trường.</w:t>
      </w:r>
    </w:p>
    <w:p>
      <w:pPr>
        <w:pStyle w:val="Heading2"/>
        <w:spacing w:after="130" w:before="300"/>
      </w:pPr>
      <w:r>
        <w:rPr>
          <w:rFonts w:ascii="Calibri" w:cs="Calibri" w:eastAsia="Calibri" w:hAnsi="Calibri"/>
          <w:b/>
          <w:bCs/>
          <w:color w:val="8B1E3F"/>
          <w:sz w:val="23"/>
          <w:szCs w:val="23"/>
        </w:rPr>
        <w:t xml:space="preserve">Catalysts</w:t>
      </w:r>
    </w:p>
    <w:p>
      <w:pPr>
        <w:pStyle w:val="ListParagraph"/>
        <w:numPr>
          <w:ilvl w:val="0"/>
          <w:numId w:val="2"/>
        </w:numPr>
        <w:spacing w:after="90" w:line="260"/>
      </w:pPr>
      <w:r>
        <w:rPr>
          <w:rFonts w:ascii="Calibri" w:cs="Calibri" w:eastAsia="Calibri" w:hAnsi="Calibri"/>
          <w:sz w:val="20"/>
          <w:szCs w:val="20"/>
        </w:rPr>
        <w:t xml:space="preserve">Đầu tư hệ thống xử lý bụi/chất thải tập trung — vừa giảm rủi ro ESG vừa là yếu tố truyền thông tích cực với khách hàng xuất khẩu thị trường phát triển</w:t>
      </w:r>
    </w:p>
    <w:p>
      <w:pPr>
        <w:pStyle w:val="ListParagraph"/>
        <w:numPr>
          <w:ilvl w:val="0"/>
          <w:numId w:val="2"/>
        </w:numPr>
        <w:spacing w:after="90" w:line="260"/>
      </w:pPr>
      <w:r>
        <w:rPr>
          <w:rFonts w:ascii="Calibri" w:cs="Calibri" w:eastAsia="Calibri" w:hAnsi="Calibri"/>
          <w:sz w:val="20"/>
          <w:szCs w:val="20"/>
        </w:rPr>
        <w:t xml:space="preserve">Khảo sát cập nhật số liệu tài chính (thay thế số liệu 2005) để có cơ sở định lượng chính xác cho quyết định phân bổ nguồn lực</w:t>
      </w:r>
    </w:p>
    <w:p>
      <w:pPr>
        <w:pStyle w:val="ListParagraph"/>
        <w:numPr>
          <w:ilvl w:val="0"/>
          <w:numId w:val="2"/>
        </w:numPr>
        <w:spacing w:after="90" w:line="260"/>
      </w:pPr>
      <w:r>
        <w:rPr>
          <w:rFonts w:ascii="Calibri" w:cs="Calibri" w:eastAsia="Calibri" w:hAnsi="Calibri"/>
          <w:sz w:val="20"/>
          <w:szCs w:val="20"/>
        </w:rPr>
        <w:t xml:space="preserve">Đánh giá khả năng đa dạng hoá/nội địa hoá một phần nguyên liệu để giảm rủi ro chuỗi cung ứng nhập khẩu</w:t>
      </w:r>
    </w:p>
    <w:p>
      <w:pPr>
        <w:pStyle w:val="Heading2"/>
        <w:spacing w:after="130" w:before="300"/>
      </w:pPr>
      <w:r>
        <w:rPr>
          <w:rFonts w:ascii="Calibri" w:cs="Calibri" w:eastAsia="Calibri" w:hAnsi="Calibri"/>
          <w:b/>
          <w:bCs/>
          <w:color w:val="8B1E3F"/>
          <w:sz w:val="23"/>
          <w:szCs w:val="23"/>
        </w:rPr>
        <w:t xml:space="preserve">Khuyến nghị phân bổ nguồn lực / can thiệp ưu tiên</w:t>
      </w:r>
    </w:p>
    <w:p>
      <w:pPr>
        <w:pStyle w:val="ListParagraph"/>
        <w:numPr>
          <w:ilvl w:val="0"/>
          <w:numId w:val="2"/>
        </w:numPr>
        <w:spacing w:after="90" w:line="260"/>
      </w:pPr>
      <w:r>
        <w:rPr>
          <w:rFonts w:ascii="Calibri" w:cs="Calibri" w:eastAsia="Calibri" w:hAnsi="Calibri"/>
          <w:sz w:val="20"/>
          <w:szCs w:val="20"/>
        </w:rPr>
        <w:t xml:space="preserve">Ưu tiên số 1: khảo sát và lập kế hoạch xử lý môi trường — đây là rủi ro có khả năng hiện thực hoá thành thiệt hại kinh tế trực tiếp (mất đơn hàng xuất khẩu), không chỉ là vấn đề tuân thủ</w:t>
      </w:r>
    </w:p>
    <w:p>
      <w:pPr>
        <w:pStyle w:val="ListParagraph"/>
        <w:numPr>
          <w:ilvl w:val="0"/>
          <w:numId w:val="2"/>
        </w:numPr>
        <w:spacing w:after="90" w:line="260"/>
      </w:pPr>
      <w:r>
        <w:rPr>
          <w:rFonts w:ascii="Calibri" w:cs="Calibri" w:eastAsia="Calibri" w:hAnsi="Calibri"/>
          <w:sz w:val="20"/>
          <w:szCs w:val="20"/>
        </w:rPr>
        <w:t xml:space="preserve">Thực hiện khảo sát tài chính cập nhật để thay thế số liệu doanh thu 2005 đã lỗi thời, làm cơ sở cho mọi quyết định phân bổ nguồn lực tiếp theo</w:t>
      </w:r>
    </w:p>
    <w:p>
      <w:pPr>
        <w:pStyle w:val="ListParagraph"/>
        <w:numPr>
          <w:ilvl w:val="0"/>
          <w:numId w:val="2"/>
        </w:numPr>
        <w:spacing w:after="90" w:line="260"/>
      </w:pPr>
      <w:r>
        <w:rPr>
          <w:rFonts w:ascii="Calibri" w:cs="Calibri" w:eastAsia="Calibri" w:hAnsi="Calibri"/>
          <w:sz w:val="20"/>
          <w:szCs w:val="20"/>
        </w:rPr>
        <w:t xml:space="preserve">Xây dựng câu chuyện thương hiệu ESG-compliant hướng tới khách hàng xuất khẩu — biến điểm yếu hiện tại thành lợi thế cạnh tranh nếu xử lý sớm và chủ động</w:t>
      </w:r>
    </w:p>
    <w:p>
      <w:pPr>
        <w:pStyle w:val="Heading1"/>
        <w:pBdr>
          <w:bottom w:val="single" w:color="8B1E3F" w:sz="6" w:space="4"/>
        </w:pBdr>
        <w:spacing w:after="200" w:before="480"/>
      </w:pPr>
      <w:r>
        <w:rPr>
          <w:rFonts w:ascii="Calibri" w:cs="Calibri" w:eastAsia="Calibri" w:hAnsi="Calibri"/>
          <w:b/>
          <w:bCs/>
          <w:color w:val="1F2937"/>
          <w:sz w:val="28"/>
          <w:szCs w:val="28"/>
        </w:rPr>
        <w:t xml:space="preserve">11. Appendix</w:t>
      </w:r>
    </w:p>
    <w:p>
      <w:pPr>
        <w:pStyle w:val="Heading2"/>
        <w:spacing w:after="130" w:before="300"/>
      </w:pPr>
      <w:r>
        <w:rPr>
          <w:rFonts w:ascii="Calibri" w:cs="Calibri" w:eastAsia="Calibri" w:hAnsi="Calibri"/>
          <w:b/>
          <w:bCs/>
          <w:color w:val="8B1E3F"/>
          <w:sz w:val="23"/>
          <w:szCs w:val="23"/>
        </w:rPr>
        <w:t xml:space="preserve">Nguồn dữ liệu</w:t>
      </w:r>
    </w:p>
    <w:p>
      <w:pPr>
        <w:pStyle w:val="ListParagraph"/>
        <w:numPr>
          <w:ilvl w:val="0"/>
          <w:numId w:val="2"/>
        </w:numPr>
        <w:spacing w:after="90" w:line="260"/>
      </w:pPr>
      <w:r>
        <w:rPr>
          <w:rFonts w:ascii="Calibri" w:cs="Calibri" w:eastAsia="Calibri" w:hAnsi="Calibri"/>
          <w:sz w:val="20"/>
          <w:szCs w:val="20"/>
        </w:rPr>
        <w:t xml:space="preserve">VietnamPlus — "Hà Nội: Nức danh làng nghề khảm trai Chuôn Ngọ ở huyện Phú Xuyên"</w:t>
      </w:r>
    </w:p>
    <w:p>
      <w:pPr>
        <w:pStyle w:val="ListParagraph"/>
        <w:numPr>
          <w:ilvl w:val="0"/>
          <w:numId w:val="2"/>
        </w:numPr>
        <w:spacing w:after="90" w:line="260"/>
      </w:pPr>
      <w:r>
        <w:rPr>
          <w:rFonts w:ascii="Calibri" w:cs="Calibri" w:eastAsia="Calibri" w:hAnsi="Calibri"/>
          <w:sz w:val="20"/>
          <w:szCs w:val="20"/>
        </w:rPr>
        <w:t xml:space="preserve">Sở Văn hoá Thể thao Hà Nội — "Chuyên Mỹ – Làng Khảm trai nghìn tuổi Chuyên Mỹ"</w:t>
      </w:r>
    </w:p>
    <w:p>
      <w:pPr>
        <w:pStyle w:val="ListParagraph"/>
        <w:numPr>
          <w:ilvl w:val="0"/>
          <w:numId w:val="2"/>
        </w:numPr>
        <w:spacing w:after="90" w:line="260"/>
      </w:pPr>
      <w:r>
        <w:rPr>
          <w:rFonts w:ascii="Calibri" w:cs="Calibri" w:eastAsia="Calibri" w:hAnsi="Calibri"/>
          <w:sz w:val="20"/>
          <w:szCs w:val="20"/>
        </w:rPr>
        <w:t xml:space="preserve">VCCI News — "Giữ gìn và phát triển làng nghề khảm trai Chuôn Ngọ nức danh đất Bắc"</w:t>
      </w:r>
    </w:p>
    <w:p>
      <w:pPr>
        <w:pStyle w:val="ListParagraph"/>
        <w:numPr>
          <w:ilvl w:val="0"/>
          <w:numId w:val="2"/>
        </w:numPr>
        <w:spacing w:after="90" w:line="260"/>
      </w:pPr>
      <w:r>
        <w:rPr>
          <w:rFonts w:ascii="Calibri" w:cs="Calibri" w:eastAsia="Calibri" w:hAnsi="Calibri"/>
          <w:sz w:val="20"/>
          <w:szCs w:val="20"/>
        </w:rPr>
        <w:t xml:space="preserve">VnBusiness — "Làng khảm trai Chuyên Mỹ (Hà Nội): Kinh tế phát đạt, ngột ngạt môi trường"</w:t>
      </w:r>
    </w:p>
    <w:p>
      <w:pPr>
        <w:pStyle w:val="ListParagraph"/>
        <w:numPr>
          <w:ilvl w:val="0"/>
          <w:numId w:val="2"/>
        </w:numPr>
        <w:spacing w:after="90" w:line="260"/>
      </w:pPr>
      <w:r>
        <w:rPr>
          <w:rFonts w:ascii="Calibri" w:cs="Calibri" w:eastAsia="Calibri" w:hAnsi="Calibri"/>
          <w:sz w:val="20"/>
          <w:szCs w:val="20"/>
        </w:rPr>
        <w:t xml:space="preserve">Sở Du lịch Hà Nội — "Làng nghề khảm trai Chuôn Ngọ"</w:t>
      </w:r>
    </w:p>
    <w:p>
      <w:pPr>
        <w:pStyle w:val="ListParagraph"/>
        <w:numPr>
          <w:ilvl w:val="0"/>
          <w:numId w:val="2"/>
        </w:numPr>
        <w:spacing w:after="90" w:line="260"/>
      </w:pPr>
      <w:r>
        <w:rPr>
          <w:rFonts w:ascii="Calibri" w:cs="Calibri" w:eastAsia="Calibri" w:hAnsi="Calibri"/>
          <w:sz w:val="20"/>
          <w:szCs w:val="20"/>
        </w:rPr>
        <w:t xml:space="preserve">Kinh tế Đô thị — "Hiện thực hóa giấc mơ đưa sản phẩm Khảm trai - Sơn mài Chuyên Mỹ hội nhập quốc tế"</w:t>
      </w:r>
    </w:p>
    <w:p>
      <w:pPr>
        <w:pStyle w:val="ListParagraph"/>
        <w:numPr>
          <w:ilvl w:val="0"/>
          <w:numId w:val="2"/>
        </w:numPr>
        <w:spacing w:after="90" w:line="260"/>
      </w:pPr>
      <w:r>
        <w:rPr>
          <w:rFonts w:ascii="Calibri" w:cs="Calibri" w:eastAsia="Calibri" w:hAnsi="Calibri"/>
          <w:sz w:val="20"/>
          <w:szCs w:val="20"/>
        </w:rPr>
        <w:t xml:space="preserve">Quan sát thực địa cá nhân của tác giả (chuyến thăm làng khảm trai)</w:t>
      </w:r>
    </w:p>
    <w:p>
      <w:pPr>
        <w:pStyle w:val="Heading2"/>
        <w:spacing w:after="130" w:before="300"/>
      </w:pPr>
      <w:r>
        <w:rPr>
          <w:rFonts w:ascii="Calibri" w:cs="Calibri" w:eastAsia="Calibri" w:hAnsi="Calibri"/>
          <w:b/>
          <w:bCs/>
          <w:color w:val="8B1E3F"/>
          <w:sz w:val="23"/>
          <w:szCs w:val="23"/>
        </w:rPr>
        <w:t xml:space="preserve">Giới hạn nghiên cứu</w:t>
      </w:r>
    </w:p>
    <w:p>
      <w:pPr>
        <w:pStyle w:val="ListParagraph"/>
        <w:numPr>
          <w:ilvl w:val="0"/>
          <w:numId w:val="2"/>
        </w:numPr>
        <w:spacing w:after="90" w:line="260"/>
      </w:pPr>
      <w:r>
        <w:rPr>
          <w:rFonts w:ascii="Calibri" w:cs="Calibri" w:eastAsia="Calibri" w:hAnsi="Calibri"/>
          <w:sz w:val="20"/>
          <w:szCs w:val="20"/>
        </w:rPr>
        <w:t xml:space="preserve">Số liệu doanh thu tổng (265 tỷ VNĐ) có từ 2005 — cách thời điểm báo cáo 20 năm, độ tin cậy cho việc suy diễn quy mô hiện tại thấp, cần coi là tham chiếu lịch sử chứ không phải hiện trạng.</w:t>
      </w:r>
    </w:p>
    <w:p>
      <w:pPr>
        <w:pStyle w:val="ListParagraph"/>
        <w:numPr>
          <w:ilvl w:val="0"/>
          <w:numId w:val="2"/>
        </w:numPr>
        <w:spacing w:after="90" w:line="260"/>
      </w:pPr>
      <w:r>
        <w:rPr>
          <w:rFonts w:ascii="Calibri" w:cs="Calibri" w:eastAsia="Calibri" w:hAnsi="Calibri"/>
          <w:sz w:val="20"/>
          <w:szCs w:val="20"/>
        </w:rPr>
        <w:t xml:space="preserve">Chưa có số liệu định lượng chi tiết về tỷ trọng doanh thu xuất khẩu so với nội địa, hoặc cơ cấu khách hàng theo từng thị trường xuất khẩu.</w:t>
      </w:r>
    </w:p>
    <w:p>
      <w:pPr>
        <w:pStyle w:val="ListParagraph"/>
        <w:numPr>
          <w:ilvl w:val="0"/>
          <w:numId w:val="2"/>
        </w:numPr>
        <w:spacing w:after="90" w:line="260"/>
      </w:pPr>
      <w:r>
        <w:rPr>
          <w:rFonts w:ascii="Calibri" w:cs="Calibri" w:eastAsia="Calibri" w:hAnsi="Calibri"/>
          <w:sz w:val="20"/>
          <w:szCs w:val="20"/>
        </w:rPr>
        <w:t xml:space="preserve">Đánh giá rủi ro môi trường dựa trên nguồn báo chí thứ cấp, chưa có đo lường kỹ thuật (chất lượng không khí, nước thải) — cần khảo sát chuyên môn để định lượng chính xác mức độ nghiêm trọng.</w:t>
      </w:r>
    </w:p>
    <w:p>
      <w:pPr>
        <w:pBdr>
          <w:top w:val="single" w:color="8B1E3F" w:sz="6" w:space="8"/>
        </w:pBdr>
        <w:spacing w:after="200" w:before="200"/>
      </w:pPr>
    </w:p>
    <w:p>
      <w:r>
        <w:rPr>
          <w:rFonts w:ascii="Calibri" w:cs="Calibri" w:eastAsia="Calibri" w:hAnsi="Calibri"/>
          <w:i/>
          <w:iCs/>
          <w:color w:val="6B7280"/>
          <w:sz w:val="17"/>
          <w:szCs w:val="17"/>
        </w:rPr>
        <w:t xml:space="preserve">Báo cáo này dùng chung cấu trúc phân tích với Investment Analysis Report còn lại trong bộ dự án để đảm bảo khả năng so sánh trực tiếp, theo nguyên tắc coverage initiation của equity research.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2026-07-21T06:11:40.015Z</dcterms:created>
  <dcterms:modified xsi:type="dcterms:W3CDTF">2026-07-21T06:11:40.015Z</dcterms:modified>
</cp:coreProperties>
</file>

<file path=docProps/custom.xml><?xml version="1.0" encoding="utf-8"?>
<Properties xmlns="http://schemas.openxmlformats.org/officeDocument/2006/custom-properties" xmlns:vt="http://schemas.openxmlformats.org/officeDocument/2006/docPropsVTypes"/>
</file>