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Calibri" w:cs="Calibri" w:eastAsia="Calibri" w:hAnsi="Calibri"/>
          <w:b/>
          <w:bCs/>
          <w:caps/>
          <w:color w:val="8B1E3F"/>
          <w:sz w:val="20"/>
          <w:szCs w:val="20"/>
        </w:rPr>
        <w:t xml:space="preserve">SECTOR INITIATION REPORT</w:t>
      </w:r>
    </w:p>
    <w:p>
      <w:pPr>
        <w:spacing w:after="400"/>
        <w:jc w:val="center"/>
      </w:pPr>
      <w:r>
        <w:rPr>
          <w:rFonts w:ascii="Calibri" w:cs="Calibri" w:eastAsia="Calibri" w:hAnsi="Calibri"/>
          <w:caps/>
          <w:color w:val="6B7280"/>
          <w:sz w:val="20"/>
          <w:szCs w:val="20"/>
        </w:rPr>
        <w:t xml:space="preserve">INDUSTRY REPORT</w:t>
      </w:r>
    </w:p>
    <w:p>
      <w:pPr>
        <w:spacing w:after="200"/>
        <w:jc w:val="center"/>
      </w:pPr>
      <w:r>
        <w:rPr>
          <w:rFonts w:ascii="Calibri" w:cs="Calibri" w:eastAsia="Calibri" w:hAnsi="Calibri"/>
          <w:b/>
          <w:bCs/>
          <w:color w:val="1F2937"/>
          <w:sz w:val="38"/>
          <w:szCs w:val="38"/>
        </w:rPr>
        <w:t xml:space="preserve">Vietnam's Traditional Craft Village Economy</w:t>
      </w:r>
    </w:p>
    <w:p>
      <w:pPr>
        <w:spacing w:after="600"/>
        <w:jc w:val="center"/>
      </w:pPr>
      <w:r>
        <w:rPr>
          <w:rFonts w:ascii="Calibri" w:cs="Calibri" w:eastAsia="Calibri" w:hAnsi="Calibri"/>
          <w:b/>
          <w:bCs/>
          <w:color w:val="8B1E3F"/>
          <w:sz w:val="30"/>
          <w:szCs w:val="30"/>
        </w:rPr>
        <w:t xml:space="preserve">Kinh Tế Làng Nghề Truyền Thống Việt Nam</w:t>
      </w:r>
    </w:p>
    <w:p>
      <w:pPr>
        <w:spacing w:after="1400"/>
        <w:jc w:val="center"/>
      </w:pPr>
      <w:r>
        <w:rPr>
          <w:rFonts w:ascii="Calibri" w:cs="Calibri" w:eastAsia="Calibri" w:hAnsi="Calibri"/>
          <w:i/>
          <w:iCs/>
          <w:color w:val="6B7280"/>
          <w:sz w:val="22"/>
          <w:szCs w:val="22"/>
        </w:rPr>
        <w:t xml:space="preserve">Phân tích cấu trúc ngành, quy mô thị trường và hàm ý đầu tư — nền tảng cho hai Investment Analysis Report chuyên sâu (Gốm Kim Lan, Khảm trai Chuôn Ngọ)</w:t>
      </w:r>
    </w:p>
    <w:p>
      <w:pPr>
        <w:spacing w:after="60"/>
        <w:jc w:val="center"/>
      </w:pPr>
      <w:r>
        <w:rPr>
          <w:rFonts w:ascii="Calibri" w:cs="Calibri" w:eastAsia="Calibri" w:hAnsi="Calibri"/>
          <w:b/>
          <w:bCs/>
          <w:sz w:val="21"/>
          <w:szCs w:val="21"/>
        </w:rPr>
        <w:t xml:space="preserve">Thực hiện bởi: Tuấn — Sinh viên ngành Finance &amp; Economics</w:t>
      </w:r>
    </w:p>
    <w:p>
      <w:pPr>
        <w:spacing w:after="60"/>
        <w:jc w:val="center"/>
      </w:pPr>
      <w:r>
        <w:rPr>
          <w:rFonts w:ascii="Calibri" w:cs="Calibri" w:eastAsia="Calibri" w:hAnsi="Calibri"/>
          <w:color w:val="6B7280"/>
          <w:sz w:val="19"/>
          <w:szCs w:val="19"/>
        </w:rPr>
        <w:t xml:space="preserve">Independent Investment Research Project — Draft v1 — Tháng 7/2026</w:t>
      </w:r>
    </w:p>
    <w:p>
      <w:r>
        <w:br w:type="page"/>
      </w:r>
    </w:p>
    <w:p>
      <w:pPr>
        <w:pStyle w:val="Heading1"/>
        <w:pBdr>
          <w:bottom w:val="single" w:color="8B1E3F" w:sz="6" w:space="4"/>
        </w:pBdr>
        <w:spacing w:after="200" w:before="480"/>
      </w:pPr>
      <w:r>
        <w:rPr>
          <w:rFonts w:ascii="Calibri" w:cs="Calibri" w:eastAsia="Calibri" w:hAnsi="Calibri"/>
          <w:b/>
          <w:bCs/>
          <w:color w:val="1F2937"/>
          <w:sz w:val="30"/>
          <w:szCs w:val="30"/>
        </w:rPr>
        <w:t xml:space="preserve">1. Tóm Tắt Điều Hành &amp; Key Takeaways</w:t>
      </w:r>
    </w:p>
    <w:p>
      <w:pPr>
        <w:spacing w:after="160" w:line="276"/>
        <w:jc w:val="both"/>
      </w:pPr>
      <w:r>
        <w:rPr>
          <w:rFonts w:ascii="Calibri" w:cs="Calibri" w:eastAsia="Calibri" w:hAnsi="Calibri"/>
          <w:sz w:val="21"/>
          <w:szCs w:val="21"/>
        </w:rPr>
        <w:t xml:space="preserve">Ngành làng nghề truyền thống Việt Nam là một cấu trúc kinh tế nghịch lý: quy mô lao động lớn (~11 triệu lao động, ~30% lực lượng lao động nông thôn) nhưng giá trị xuất khẩu bình quân đầu người thấp (kim ngạch xuất khẩu thủ công mỹ nghệ toàn quốc chỉ ~2 tỷ USD/năm, tương đương ~180 USD/lao động/năm nếu chia đều). Đây là chỉ dấu cấu trúc quan trọng nhất của ngành: giá trị gia tăng bị giữ lại chủ yếu ở khâu sản xuất thô, trong khi khâu thiết kế, thương hiệu và phân phối — nơi biên lợi nhuận cao nhất — phần lớn nằm ngoài tầm kiểm soát của người sản xuất.</w:t>
      </w:r>
    </w:p>
    <w:p>
      <w:pPr>
        <w:spacing w:after="160" w:line="276"/>
        <w:jc w:val="both"/>
      </w:pPr>
      <w:r>
        <w:rPr>
          <w:rFonts w:ascii="Calibri" w:cs="Calibri" w:eastAsia="Calibri" w:hAnsi="Calibri"/>
          <w:sz w:val="21"/>
          <w:szCs w:val="21"/>
        </w:rPr>
        <w:t xml:space="preserve">Ngành có 5.400 làng nghề trên cả nước, nhưng chỉ khoảng 2.000 làng nghề truyền thống được công nhận chính thức và một tỷ lệ nhỏ hơn nhiều có năng lực thương mại hoá/xuất khẩu thực chất. Điều này tạo ra một phổ phân bố lệch (skewed distribution): một nhóm nhỏ làng nghề (như Bát Tràng, Đồng Kỵ, Vạn Phúc) chiếm phần lớn giá trị kinh tế và khả năng tiếp cận thị trường quốc tế, trong khi phần lớn còn lại vận hành ở quy mô hộ gia đình nhỏ lẻ, phụ thuộc thị trường nội địa và du lịch.</w:t>
      </w:r>
    </w:p>
    <w:p>
      <w:pPr>
        <w:spacing w:after="160" w:line="276"/>
        <w:jc w:val="both"/>
      </w:pPr>
      <w:r>
        <w:rPr>
          <w:rFonts w:ascii="Calibri" w:cs="Calibri" w:eastAsia="Calibri" w:hAnsi="Calibri"/>
          <w:b/>
          <w:bCs/>
          <w:color w:val="1F2937"/>
          <w:sz w:val="21"/>
          <w:szCs w:val="21"/>
        </w:rPr>
        <w:t xml:space="preserve">Investment implication: </w:t>
      </w:r>
      <w:r>
        <w:rPr>
          <w:rFonts w:ascii="Calibri" w:cs="Calibri" w:eastAsia="Calibri" w:hAnsi="Calibri"/>
          <w:sz w:val="21"/>
          <w:szCs w:val="21"/>
        </w:rPr>
        <w:t xml:space="preserve">cơ hội đầu tư/can thiệp hấp dẫn nhất không nằm ở việc rót vốn dàn trải, mà ở việc xác định các làng nghề có moat rõ ràng (chỉ dẫn địa lý, kỹ nghệ độc bản, di sản được công nhận) nhưng đang bị giới hạn bởi năng lực thương mại hoá hoặc kênh phân phối — đây chính là logic sàng lọc được áp dụng trong Dashboard và hai Investment Report đi kèm.</w:t>
      </w:r>
    </w:p>
    <w:p>
      <w:pPr>
        <w:pStyle w:val="ListParagraph"/>
        <w:numPr>
          <w:ilvl w:val="0"/>
          <w:numId w:val="2"/>
        </w:numPr>
        <w:spacing w:after="100" w:line="270"/>
      </w:pPr>
      <w:r>
        <w:rPr>
          <w:rFonts w:ascii="Calibri" w:cs="Calibri" w:eastAsia="Calibri" w:hAnsi="Calibri"/>
          <w:sz w:val="21"/>
          <w:szCs w:val="21"/>
        </w:rPr>
        <w:t xml:space="preserve">Quy mô ngành: ~5.400 làng nghề, ~11 triệu lao động, kim ngạch xuất khẩu ~2 tỷ USD (2024), mục tiêu 6 tỷ USD vào 2030.</w:t>
      </w:r>
    </w:p>
    <w:p>
      <w:pPr>
        <w:pStyle w:val="ListParagraph"/>
        <w:numPr>
          <w:ilvl w:val="0"/>
          <w:numId w:val="2"/>
        </w:numPr>
        <w:spacing w:after="100" w:line="270"/>
      </w:pPr>
      <w:r>
        <w:rPr>
          <w:rFonts w:ascii="Calibri" w:cs="Calibri" w:eastAsia="Calibri" w:hAnsi="Calibri"/>
          <w:sz w:val="21"/>
          <w:szCs w:val="21"/>
        </w:rPr>
        <w:t xml:space="preserve">Cấu trúc cạnh tranh: phân mảnh cao ở cấp sản xuất, nhưng tập trung ở cấp thương hiệu/phân phối — rào cản gia nhập thấp về vốn nhưng cao về kỹ nghệ và thời gian tích luỹ danh tiếng.</w:t>
      </w:r>
    </w:p>
    <w:p>
      <w:pPr>
        <w:pStyle w:val="ListParagraph"/>
        <w:numPr>
          <w:ilvl w:val="0"/>
          <w:numId w:val="2"/>
        </w:numPr>
        <w:spacing w:after="100" w:line="270"/>
      </w:pPr>
      <w:r>
        <w:rPr>
          <w:rFonts w:ascii="Calibri" w:cs="Calibri" w:eastAsia="Calibri" w:hAnsi="Calibri"/>
          <w:sz w:val="21"/>
          <w:szCs w:val="21"/>
        </w:rPr>
        <w:t xml:space="preserve">Động lực chính sách: Nghị định 52/2018/NĐ-CP và chương trình OCOP đang tạo trợ lực tài chính và thương hiệu hoá, nhưng mức hỗ trợ còn nhỏ (tối đa 50 triệu đồng/cơ sở).</w:t>
      </w:r>
    </w:p>
    <w:p>
      <w:pPr>
        <w:pStyle w:val="ListParagraph"/>
        <w:numPr>
          <w:ilvl w:val="0"/>
          <w:numId w:val="2"/>
        </w:numPr>
        <w:spacing w:after="100" w:line="270"/>
      </w:pPr>
      <w:r>
        <w:rPr>
          <w:rFonts w:ascii="Calibri" w:cs="Calibri" w:eastAsia="Calibri" w:hAnsi="Calibri"/>
          <w:sz w:val="21"/>
          <w:szCs w:val="21"/>
        </w:rPr>
        <w:t xml:space="preserve">Rủi ro cấu trúc lớn nhất: mai một lực lượng nghệ nhân kế cận và cạnh tranh từ hàng công nghiệp giá rẻ — không phải rủi ro thị trường ngắn hạn.</w:t>
      </w:r>
    </w:p>
    <w:p>
      <w:pPr>
        <w:pStyle w:val="Heading1"/>
        <w:pBdr>
          <w:bottom w:val="single" w:color="8B1E3F" w:sz="6" w:space="4"/>
        </w:pBdr>
        <w:spacing w:after="200" w:before="480"/>
      </w:pPr>
      <w:r>
        <w:rPr>
          <w:rFonts w:ascii="Calibri" w:cs="Calibri" w:eastAsia="Calibri" w:hAnsi="Calibri"/>
          <w:b/>
          <w:bCs/>
          <w:color w:val="1F2937"/>
          <w:sz w:val="30"/>
          <w:szCs w:val="30"/>
        </w:rPr>
        <w:t xml:space="preserve">2. Bối Cảnh Vĩ Mô &amp; Chính Sách (PESTEL)</w:t>
      </w:r>
    </w:p>
    <w:p>
      <w:pPr>
        <w:pStyle w:val="Heading2"/>
        <w:spacing w:after="140" w:before="320"/>
      </w:pPr>
      <w:r>
        <w:rPr>
          <w:rFonts w:ascii="Calibri" w:cs="Calibri" w:eastAsia="Calibri" w:hAnsi="Calibri"/>
          <w:b/>
          <w:bCs/>
          <w:color w:val="8B1E3F"/>
          <w:sz w:val="24"/>
          <w:szCs w:val="24"/>
        </w:rPr>
        <w:t xml:space="preserve">2.1. Political &amp; Legal</w:t>
      </w:r>
    </w:p>
    <w:p>
      <w:pPr>
        <w:spacing w:after="160" w:line="276"/>
        <w:jc w:val="both"/>
      </w:pPr>
      <w:r>
        <w:rPr>
          <w:rFonts w:ascii="Calibri" w:cs="Calibri" w:eastAsia="Calibri" w:hAnsi="Calibri"/>
          <w:sz w:val="21"/>
          <w:szCs w:val="21"/>
        </w:rPr>
        <w:t xml:space="preserve">Khung pháp lý nền tảng là Nghị định 52/2018/NĐ-CP về phát triển ngành nghề nông thôn, quy định 7 nhóm ngành nghề được hỗ trợ (chế biến nông sản, sản xuất hàng thủ công mỹ nghệ, xử lý nguyên liệu, sản xuất đồ gỗ/mây tre/gốm sứ/dệt may/thêu ren/chạm khắc, sinh vật cảnh, sản xuất muối, dịch vụ nông thôn). Cơ chế hỗ trợ gồm ngân sách địa phương cho hạ tầng làng nghề và hỗ trợ tối đa 50% chi phí (không quá 50 triệu đồng/cơ sở) cho xúc tiến thương mại, thiết kế, thương hiệu, chỉ dẫn địa lý. Một nghị định thay thế đang được soạn thảo với phạm vi mở rộng hơn — đây là biến số chính sách cần theo dõi vì có thể thay đổi đáng kể mức hỗ trợ tài chính cho ngành.</w:t>
      </w:r>
    </w:p>
    <w:p>
      <w:pPr>
        <w:pStyle w:val="Heading2"/>
        <w:spacing w:after="140" w:before="320"/>
      </w:pPr>
      <w:r>
        <w:rPr>
          <w:rFonts w:ascii="Calibri" w:cs="Calibri" w:eastAsia="Calibri" w:hAnsi="Calibri"/>
          <w:b/>
          <w:bCs/>
          <w:color w:val="8B1E3F"/>
          <w:sz w:val="24"/>
          <w:szCs w:val="24"/>
        </w:rPr>
        <w:t xml:space="preserve">2.2. Economic</w:t>
      </w:r>
    </w:p>
    <w:p>
      <w:pPr>
        <w:spacing w:after="160" w:line="276"/>
        <w:jc w:val="both"/>
      </w:pPr>
      <w:r>
        <w:rPr>
          <w:rFonts w:ascii="Calibri" w:cs="Calibri" w:eastAsia="Calibri" w:hAnsi="Calibri"/>
          <w:sz w:val="21"/>
          <w:szCs w:val="21"/>
        </w:rPr>
        <w:t xml:space="preserve">Ngành gắn chặt với kinh tế nông thôn: tạo việc làm cho ~30% lực lượng lao động nông thôn và miền núi, đóng vai trò như một kênh chuyển đổi cơ cấu lao động phi nông nghiệp tại chỗ. Tuy nhiên, tăng trưởng kim ngạch xuất khẩu thủ công mỹ nghệ (9,5%/năm giai đoạn 2015-2019) chậm hơn đáng kể so với tăng trưởng xuất khẩu chung của Việt Nam cùng giai đoạn, cho thấy ngành đang mất dần thị phần tương đối trong cơ cấu xuất khẩu quốc gia dù tăng trưởng tuyệt đối vẫn dương.</w:t>
      </w:r>
    </w:p>
    <w:p>
      <w:pPr>
        <w:pStyle w:val="Heading2"/>
        <w:spacing w:after="140" w:before="320"/>
      </w:pPr>
      <w:r>
        <w:rPr>
          <w:rFonts w:ascii="Calibri" w:cs="Calibri" w:eastAsia="Calibri" w:hAnsi="Calibri"/>
          <w:b/>
          <w:bCs/>
          <w:color w:val="8B1E3F"/>
          <w:sz w:val="24"/>
          <w:szCs w:val="24"/>
        </w:rPr>
        <w:t xml:space="preserve">2.3. Social &amp; Demographic</w:t>
      </w:r>
    </w:p>
    <w:p>
      <w:pPr>
        <w:spacing w:after="160" w:line="276"/>
        <w:jc w:val="both"/>
      </w:pPr>
      <w:r>
        <w:rPr>
          <w:rFonts w:ascii="Calibri" w:cs="Calibri" w:eastAsia="Calibri" w:hAnsi="Calibri"/>
          <w:sz w:val="21"/>
          <w:szCs w:val="21"/>
        </w:rPr>
        <w:t xml:space="preserve">Đây là lực cản cấu trúc quan trọng nhất của ngành: nghề thủ công phụ thuộc vào truyền nghề qua nhiều thế hệ, trong khi lao động trẻ tại nông thôn có xu hướng dịch chuyển sang khu công nghiệp hoặc đô thị vì thu nhập ổn định hơn. Hệ quả quan sát được tại nhiều làng nghề (ví dụ số lò gốm Kim Lan giảm từ ~750 xuống ~350 trong ba thập niên) là suy giảm quy mô sản xuất không phải vì mất thị trường, mà vì mất lực lượng lao động kế cận.</w:t>
      </w:r>
    </w:p>
    <w:p>
      <w:pPr>
        <w:pStyle w:val="Heading2"/>
        <w:spacing w:after="140" w:before="320"/>
      </w:pPr>
      <w:r>
        <w:rPr>
          <w:rFonts w:ascii="Calibri" w:cs="Calibri" w:eastAsia="Calibri" w:hAnsi="Calibri"/>
          <w:b/>
          <w:bCs/>
          <w:color w:val="8B1E3F"/>
          <w:sz w:val="24"/>
          <w:szCs w:val="24"/>
        </w:rPr>
        <w:t xml:space="preserve">2.4. Technological</w:t>
      </w:r>
    </w:p>
    <w:p>
      <w:pPr>
        <w:spacing w:after="160" w:line="276"/>
        <w:jc w:val="both"/>
      </w:pPr>
      <w:r>
        <w:rPr>
          <w:rFonts w:ascii="Calibri" w:cs="Calibri" w:eastAsia="Calibri" w:hAnsi="Calibri"/>
          <w:sz w:val="21"/>
          <w:szCs w:val="21"/>
        </w:rPr>
        <w:t xml:space="preserve">Thương mại điện tử và mạng xã hội đang mở kênh phân phối trực tiếp tới người tiêu dùng (D2C), giảm phụ thuộc vào trung gian xuất khẩu truyền thống — đây là cơ hội cấu trúc cho các làng nghề có khả năng số hoá câu chuyện thương hiệu. Ngược lại, tự động hoá trong sản xuất hàng loạt (đặc biệt ở phân khúc gốm sứ, đồ gỗ) tạo áp lực cạnh tranh giá từ hàng công nghiệp mô phỏng phong cách thủ công.</w:t>
      </w:r>
    </w:p>
    <w:p>
      <w:pPr>
        <w:pStyle w:val="Heading2"/>
        <w:spacing w:after="140" w:before="320"/>
      </w:pPr>
      <w:r>
        <w:rPr>
          <w:rFonts w:ascii="Calibri" w:cs="Calibri" w:eastAsia="Calibri" w:hAnsi="Calibri"/>
          <w:b/>
          <w:bCs/>
          <w:color w:val="8B1E3F"/>
          <w:sz w:val="24"/>
          <w:szCs w:val="24"/>
        </w:rPr>
        <w:t xml:space="preserve">2.5. Environmental</w:t>
      </w:r>
    </w:p>
    <w:p>
      <w:pPr>
        <w:spacing w:after="160" w:line="276"/>
        <w:jc w:val="both"/>
      </w:pPr>
      <w:r>
        <w:rPr>
          <w:rFonts w:ascii="Calibri" w:cs="Calibri" w:eastAsia="Calibri" w:hAnsi="Calibri"/>
          <w:sz w:val="21"/>
          <w:szCs w:val="21"/>
        </w:rPr>
        <w:t xml:space="preserve">Một số nhóm ngành nghề (gốm sứ, chế tác đá, khảm trai/sơn mài) phát sinh vấn đề môi trường tại chỗ: khí thải lò nung, bụi mài, nước thải xử lý nguyên liệu. Đây là rủi ro ESG cấp ngành cần đánh giá riêng cho từng làng nghề, không thể khái quát hoá — ví dụ Chuôn Ngọ (khảm trai) được báo chí trong nước ghi nhận tình trạng "kinh tế phát đạt, ngột ngạt môi trường".</w:t>
      </w:r>
    </w:p>
    <w:p>
      <w:pPr>
        <w:pStyle w:val="Heading2"/>
        <w:spacing w:after="140" w:before="320"/>
      </w:pPr>
      <w:r>
        <w:rPr>
          <w:rFonts w:ascii="Calibri" w:cs="Calibri" w:eastAsia="Calibri" w:hAnsi="Calibri"/>
          <w:b/>
          <w:bCs/>
          <w:color w:val="8B1E3F"/>
          <w:sz w:val="24"/>
          <w:szCs w:val="24"/>
        </w:rPr>
        <w:t xml:space="preserve">2.6. Legal — Sở hữu trí tuệ &amp; Chỉ dẫn địa lý</w:t>
      </w:r>
    </w:p>
    <w:p>
      <w:pPr>
        <w:spacing w:after="160" w:line="276"/>
        <w:jc w:val="both"/>
      </w:pPr>
      <w:r>
        <w:rPr>
          <w:rFonts w:ascii="Calibri" w:cs="Calibri" w:eastAsia="Calibri" w:hAnsi="Calibri"/>
          <w:sz w:val="21"/>
          <w:szCs w:val="21"/>
        </w:rPr>
        <w:t xml:space="preserve">Chỉ dẫn địa lý (geographical indication) là công cụ pháp lý quan trọng nhất để bảo vệ moat của làng nghề, nhưng mức độ đăng ký và thực thi còn không đồng đều. Làng nghề nào đã hoàn tất đăng ký nhãn hiệu tập thể/chỉ dẫn địa lý (như Kim Lan từ 2009) có lợi thế phòng vệ thương hiệu rõ rệt hơn so với làng nghề chưa đăng ký.</w:t>
      </w:r>
    </w:p>
    <w:p>
      <w:pPr>
        <w:pStyle w:val="Heading1"/>
        <w:pBdr>
          <w:bottom w:val="single" w:color="8B1E3F" w:sz="6" w:space="4"/>
        </w:pBdr>
        <w:spacing w:after="200" w:before="480"/>
      </w:pPr>
      <w:r>
        <w:rPr>
          <w:rFonts w:ascii="Calibri" w:cs="Calibri" w:eastAsia="Calibri" w:hAnsi="Calibri"/>
          <w:b/>
          <w:bCs/>
          <w:color w:val="1F2937"/>
          <w:sz w:val="30"/>
          <w:szCs w:val="30"/>
        </w:rPr>
        <w:t xml:space="preserve">3. Quy Mô Thị Trường (TAM / SAM / SOM)</w:t>
      </w:r>
    </w:p>
    <w:p>
      <w:pPr>
        <w:spacing w:after="160" w:line="276"/>
        <w:jc w:val="both"/>
      </w:pPr>
      <w:r>
        <w:rPr>
          <w:rFonts w:ascii="Calibri" w:cs="Calibri" w:eastAsia="Calibri" w:hAnsi="Calibri"/>
          <w:sz w:val="21"/>
          <w:szCs w:val="21"/>
        </w:rPr>
        <w:t xml:space="preserve">Định lượng quy mô ngành làng nghề Việt Nam gặp một giới hạn dữ liệu cố hữu: không tồn tại một cơ sở dữ liệu thống nhất theo dõi doanh thu tiêu thụ nội địa của khu vực làng nghề — chỉ số liệu xuất khẩu (qua mã HS hải quan) và số liệu lao động là tương đối đáng tin cậy. Do đó, khung TAM/SAM/SOM dưới đây được xây dựng như một hàm phễu có cận dưới rõ ràng (xuất khẩu đã ghi nhận) và ước lượng mở rộng có giả định minh bạch cho phần tiêu thụ nội địa — bản thân sự thiếu minh bạch số liệu nội địa cũng là một phát hiện phân tích đáng ghi nhận, không nên bị che giấu bằng số liệu ước đoán trình bày như chính xác tuyệt đối.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00"/>
      </w:tblGrid>
      <w:tr>
        <w:trPr>
          <w:tblHeader/>
        </w:trPr>
        <w:tc>
          <w:tcPr>
            <w:tcW w:type="dxa" w:w="1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Cấp độ</w:t>
            </w:r>
          </w:p>
        </w:tc>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Ước tính quy mô</w:t>
            </w:r>
          </w:p>
        </w:tc>
        <w:tc>
          <w:tcPr>
            <w:tcW w:type="dxa" w:w="50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Cơ sở &amp; giả định</w:t>
            </w:r>
          </w:p>
        </w:tc>
      </w:tr>
      <w:tr>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TAM</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 tỷ USD (cận dưới, chỉ tính xuất khẩu, 2024) — mở rộng ước tính 3,5-4,5 tỷ USD nếu cộng thêm tiêu thụ nội địa và du lịch làng nghề</w:t>
            </w:r>
          </w:p>
        </w:tc>
        <w:tc>
          <w:tcPr>
            <w:tcW w:type="dxa" w:w="5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Cận dưới lấy trực tiếp từ kim ngạch xuất khẩu thủ công mỹ nghệ (Bộ Công Thương). Phần mở rộng là ước lượng giả định tiêu thụ nội địa xấp xỉ 1-1,2 lần giá trị xuất khẩu, dựa trên tỷ lệ thường thấy ở các ngành hàng tiêu dùng có đặc tính tương tự tại Việt Nam — CẦN xác thực lại bằng khảo sát khi có điều kiện.</w:t>
            </w:r>
          </w:p>
        </w:tc>
      </w:tr>
      <w:tr>
        <w:tc>
          <w:tcPr>
            <w:tcW w:type="dxa" w:w="1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SAM</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~800 triệu — 1,2 tỷ USD</w:t>
            </w:r>
          </w:p>
        </w:tc>
        <w:tc>
          <w:tcPr>
            <w:tcW w:type="dxa" w:w="50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Phân khúc sản phẩm trang trí nội thất, quà tặng thủ công mỹ nghệ cao cấp và sản phẩm gắn với câu chuyện di sản/văn hoá — nhóm có khả năng thương mại hoá và định giá cao hơn hàng thủ công đại trà (ước tính chiếm 35-40% giá trị xuất khẩu thủ công mỹ nghệ dựa trên cơ cấu ngành hàng phổ biến: gốm sứ, sơn mài, khảm trai, thêu, mây tre cao cấp).</w:t>
            </w:r>
          </w:p>
        </w:tc>
      </w:tr>
      <w:tr>
        <w:tc>
          <w:tcPr>
            <w:tcW w:type="dxa" w:w="1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SOM</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Theo từng làng nghề cụ thể — xem Đầu ra 6.2</w:t>
            </w:r>
          </w:p>
        </w:tc>
        <w:tc>
          <w:tcPr>
            <w:tcW w:type="dxa" w:w="5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Dư địa thực tế một làng nghề đơn lẻ có thể tiếp cận trong 3-5 năm, phụ thuộc năng lực sản xuất hiện hữu, khả năng mở rộng kênh phân phối và mức độ nhận diện thương hiệu — được định lượng riêng trong từng Investment Report.</w:t>
            </w:r>
          </w:p>
        </w:tc>
      </w:tr>
    </w:tbl>
    <w:p>
      <w:pPr>
        <w:spacing w:after="120"/>
      </w:pPr>
    </w:p>
    <w:p>
      <w:pPr>
        <w:spacing w:after="160" w:line="276"/>
        <w:jc w:val="both"/>
      </w:pPr>
      <w:r>
        <w:rPr>
          <w:rFonts w:ascii="Calibri" w:cs="Calibri" w:eastAsia="Calibri" w:hAnsi="Calibri"/>
          <w:sz w:val="21"/>
          <w:szCs w:val="21"/>
        </w:rPr>
        <w:t xml:space="preserve">Hàm ý cho hai Investment Report: vì SAM tập trung vào phân khúc giá trị cao (trang trí, quà tặng, di sản), các làng nghề có sản phẩm thiên về công năng/giá rẻ (như gốm gia dụng đại trà) sẽ có SOM nhỏ hơn tương đối so với làng nghề có sản phẩm định vị cao cấp (như khảm trai, sơn mài) — đây là một trong những lý do khảm trai Chuôn Ngọ đạt điểm số cao hơn Gốm Kim Lan trong ma trận sàng lọc ở Dashboard, dù cả hai đều có giá trị di sản tương đương.</w:t>
      </w:r>
    </w:p>
    <w:p>
      <w:pPr>
        <w:pStyle w:val="Heading1"/>
        <w:pBdr>
          <w:bottom w:val="single" w:color="8B1E3F" w:sz="6" w:space="4"/>
        </w:pBdr>
        <w:spacing w:after="200" w:before="480"/>
      </w:pPr>
      <w:r>
        <w:rPr>
          <w:rFonts w:ascii="Calibri" w:cs="Calibri" w:eastAsia="Calibri" w:hAnsi="Calibri"/>
          <w:b/>
          <w:bCs/>
          <w:color w:val="1F2937"/>
          <w:sz w:val="30"/>
          <w:szCs w:val="30"/>
        </w:rPr>
        <w:t xml:space="preserve">4. Cấu Trúc Cạnh Tranh Ngành (Porter's Five Forces)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Lực cạnh tranh</w:t>
            </w:r>
          </w:p>
        </w:tc>
        <w:tc>
          <w:tcPr>
            <w:tcW w:type="dxa" w:w="6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Đánh giá</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Quyền lực nhà cung cấp nguyên liệu</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Trung bình-Cao đối với nguyên liệu đặc thù phải nhập khẩu (vỏ trai/ốc cho khảm trai, một số loại gỗ quý, men gốm đặc chủng); Thấp đối với nguyên liệu phổ thông sẵn có tại chỗ (đất sét, tre nứa). Rủi ro tập trung nhà cung cấp cao ở các làng nghề phụ thuộc nguyên liệu nhập khẩu.</w:t>
            </w:r>
          </w:p>
        </w:tc>
      </w:tr>
      <w:tr>
        <w:tc>
          <w:tcPr>
            <w:tcW w:type="dxa" w:w="2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Quyền lực người mua/nhà phân phối</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Cao. Phần lớn làng nghề bán qua trung gian (thương lái, công ty xuất khẩu, đại lý du lịch) thay vì trực tiếp tới người tiêu dùng cuối, khiến biên lợi nhuận bị nén ở khâu sản xuất. Đây là điểm nghẽn giá trị lớn nhất của toàn ngành.</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Rào cản gia nhập ngành</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Thấp về vốn, Cao về kỹ nghệ và thời gian. Bất kỳ ai cũng có thể mở xưởng sản xuất thủ công mỹ nghệ với vốn nhỏ, nhưng đạt được tay nghề, uy tín thương hiệu và mạng lưới phân phối đòi hỏi hàng chục năm — đây là bản chất của moat trong ngành này (khác với moat vốn hay công nghệ ở ngành khác).</w:t>
            </w:r>
          </w:p>
        </w:tc>
      </w:tr>
      <w:tr>
        <w:tc>
          <w:tcPr>
            <w:tcW w:type="dxa" w:w="2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Sản phẩm/dịch vụ thay thế</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Cao và ngày càng tăng. Hàng công nghiệp mô phỏng phong cách thủ công (gốm sứ Trung Quốc, đồ gỗ công nghiệp CNC, hàng trang trí nhựa giả mây tre) cạnh tranh trực tiếp về giá ở phân khúc phổ thông. Ở phân khúc cao cấp/di sản, mức độ thay thế thấp hơn vì giá trị nằm ở tính độc bản và câu chuyện văn hoá.</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Cạnh tranh nội ngành</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Cao và mang tính địa phương hoá — các làng nghề cùng nhóm sản phẩm cạnh tranh trực tiếp về khách du lịch và đơn hàng (ví dụ Kim Lan cạnh tranh với Bát Tràng liền kề). Cạnh tranh này thường không dẫn đến hợp nhất hay đào thải rõ rệt vì mỗi làng nghề gắn với một cộng đồng dân cư cố định, không di chuyển được như doanh nghiệp.</w:t>
            </w:r>
          </w:p>
        </w:tc>
      </w:tr>
    </w:tbl>
    <w:p>
      <w:pPr>
        <w:spacing w:after="120"/>
      </w:pPr>
    </w:p>
    <w:p>
      <w:pPr>
        <w:spacing w:after="160" w:line="276"/>
        <w:jc w:val="both"/>
      </w:pPr>
      <w:r>
        <w:rPr>
          <w:rFonts w:ascii="Calibri" w:cs="Calibri" w:eastAsia="Calibri" w:hAnsi="Calibri"/>
          <w:b/>
          <w:bCs/>
          <w:color w:val="1F2937"/>
          <w:sz w:val="21"/>
          <w:szCs w:val="21"/>
        </w:rPr>
        <w:t xml:space="preserve">Kết luận cấu trúc ngành: </w:t>
      </w:r>
      <w:r>
        <w:rPr>
          <w:rFonts w:ascii="Calibri" w:cs="Calibri" w:eastAsia="Calibri" w:hAnsi="Calibri"/>
          <w:sz w:val="21"/>
          <w:szCs w:val="21"/>
        </w:rPr>
        <w:t xml:space="preserve">đây là một ngành có mức độ hấp dẫn cấu trúc trung bình-thấp theo khung Porter cổ điển (quyền lực người mua cao, sản phẩm thay thế nhiều, cạnh tranh nội ngành cao), NHƯNG lại có đặc điểm khác biệt căn bản so với ngành sản xuất công nghiệp thông thường: mỗi làng nghề là một moat địa lý-văn hoá không thể sao chép hàng loạt. Điều này có nghĩa nhà đầu tư/nhà nghiên cứu không nên đánh giá toàn ngành như một khối đồng nhất, mà phải sàng lọc ở cấp độ từng làng nghề — đúng logic được áp dụng trong Dashboard sàng lọc.</w:t>
      </w:r>
    </w:p>
    <w:p>
      <w:pPr>
        <w:pStyle w:val="Heading1"/>
        <w:pBdr>
          <w:bottom w:val="single" w:color="8B1E3F" w:sz="6" w:space="4"/>
        </w:pBdr>
        <w:spacing w:after="200" w:before="480"/>
      </w:pPr>
      <w:r>
        <w:rPr>
          <w:rFonts w:ascii="Calibri" w:cs="Calibri" w:eastAsia="Calibri" w:hAnsi="Calibri"/>
          <w:b/>
          <w:bCs/>
          <w:color w:val="1F2937"/>
          <w:sz w:val="30"/>
          <w:szCs w:val="30"/>
        </w:rPr>
        <w:t xml:space="preserve">5. Chuỗi Giá Trị (Value Chain Deep-Dive)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Khâu</w:t>
            </w:r>
          </w:p>
        </w:tc>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Hoạt động</w:t>
            </w:r>
          </w:p>
        </w:tc>
        <w:tc>
          <w:tcPr>
            <w:tcW w:type="dxa" w:w="3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Nơi giữ giá trị / Điểm nghẽn</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1. Nguyên liệu</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Thu gom/nhập khẩu đất sét, gỗ, vỏ trai, sợi tự nhiên...</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Biên lợi nhuận thấp; rủi ro phụ thuộc nguồn cung với nguyên liệu đặc thù phải nhập khẩu</w:t>
            </w:r>
          </w:p>
        </w:tc>
      </w:tr>
      <w:tr>
        <w:tc>
          <w:tcPr>
            <w:tcW w:type="dxa" w:w="2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2. Sản xuất thủ công</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Chế tác bằng tay/bán cơ giới, đòi hỏi kỹ nghệ tích luỹ nhiều năm</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Nơi tập trung lao động nhiều nhất nhưng giá trị gia tăng trên mỗi giờ công thấp nhất trong toàn chuỗi — đây là điểm nghẽn cấu trúc cốt lõi của ngành</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3. Thiết kế &amp; phát triển sản phẩm</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Cải tiến mẫu mã, kết hợp yếu tố hiện đại với kỹ nghệ truyền thống</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Khâu có tiềm năng biên lợi nhuận cao nhất nhưng ít làng nghề đầu tư bài bản — cơ hội can thiệp rõ ràng nhất cho nhà đầu tư/tư vấn</w:t>
            </w:r>
          </w:p>
        </w:tc>
      </w:tr>
      <w:tr>
        <w:tc>
          <w:tcPr>
            <w:tcW w:type="dxa" w:w="2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4. Thương hiệu &amp; sở hữu trí tuệ</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Đăng ký nhãn hiệu tập thể, chỉ dẫn địa lý, xây dựng câu chuyện di sản</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Khâu quyết định khả năng định giá cao — làng nghề có thương hiệu mạnh (Bát Tràng, Vạn Phúc) tách biệt rõ rệt về giá bán so với làng nghề cùng nhóm sản phẩm nhưng chưa xây thương hiệu</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5. Phân phối</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Thương lái nội địa, công ty xuất khẩu, kênh du lịch, thương mại điện tử</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Trung gian truyền thống giữ phần lớn biên lợi nhuận phân phối; kênh D2C qua thương mại điện tử đang mở cơ hội tái phân bổ giá trị về phía người sản xuất</w:t>
            </w:r>
          </w:p>
        </w:tc>
      </w:tr>
      <w:tr>
        <w:tc>
          <w:tcPr>
            <w:tcW w:type="dxa" w:w="2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6. Tiêu dùng cuối</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Khách du lịch, người tiêu dùng nội địa, nhà nhập khẩu quốc tế</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Định hình toàn bộ tín hiệu cầu ngược dòng chuỗi giá trị; mức độ sẵn sàng chi trả cho "câu chuyện di sản" là biến số then chốt quyết định định giá phân khúc cao cấp</w:t>
            </w:r>
          </w:p>
        </w:tc>
      </w:tr>
    </w:tbl>
    <w:p>
      <w:pPr>
        <w:spacing w:after="120"/>
      </w:pPr>
    </w:p>
    <w:p>
      <w:pPr>
        <w:spacing w:after="160" w:line="276"/>
        <w:jc w:val="both"/>
      </w:pPr>
      <w:r>
        <w:rPr>
          <w:rFonts w:ascii="Calibri" w:cs="Calibri" w:eastAsia="Calibri" w:hAnsi="Calibri"/>
          <w:sz w:val="21"/>
          <w:szCs w:val="21"/>
        </w:rPr>
        <w:t xml:space="preserve">Quan sát xuyên suốt: giá trị trong chuỗi bị nén mạnh nhất ở khâu sản xuất (nơi tập trung lao động) và bị giữ lại nhiều nhất ở khâu thương hiệu/thiết kế/phân phối (nơi ít làng nghề có năng lực tự thực hiện). Đây là luận điểm trung tâm cho khuyến nghị đầu tư/can thiệp: giá trị gia tăng biên tế lớn nhất không đến từ mở rộng sản xuất, mà từ việc dịch chuyển năng lực làng nghề sang phía thượng nguồn giá trị (thiết kế, thương hiệu, kênh phân phối trực tiếp).</w:t>
      </w:r>
    </w:p>
    <w:p>
      <w:pPr>
        <w:pStyle w:val="Heading1"/>
        <w:pBdr>
          <w:bottom w:val="single" w:color="8B1E3F" w:sz="6" w:space="4"/>
        </w:pBdr>
        <w:spacing w:after="200" w:before="480"/>
      </w:pPr>
      <w:r>
        <w:rPr>
          <w:rFonts w:ascii="Calibri" w:cs="Calibri" w:eastAsia="Calibri" w:hAnsi="Calibri"/>
          <w:b/>
          <w:bCs/>
          <w:color w:val="1F2937"/>
          <w:sz w:val="30"/>
          <w:szCs w:val="30"/>
        </w:rPr>
        <w:t xml:space="preserve">6. Phân Khúc Ngành Theo Mô Hình Kinh Tế</w:t>
      </w:r>
    </w:p>
    <w:p>
      <w:pPr>
        <w:spacing w:after="160" w:line="276"/>
        <w:jc w:val="both"/>
      </w:pPr>
      <w:r>
        <w:rPr>
          <w:rFonts w:ascii="Calibri" w:cs="Calibri" w:eastAsia="Calibri" w:hAnsi="Calibri"/>
          <w:sz w:val="21"/>
          <w:szCs w:val="21"/>
        </w:rPr>
        <w:t xml:space="preserve">Thay vì phân loại làng nghề theo nhóm sản phẩm (gốm, gỗ, dệt...) như cách tiếp cận hành chính thông thường, báo cáo này phân khúc theo mô hình kinh tế vận hành — cách tiếp cận phù hợp hơn cho mục đích đầu tư vì hai làng nghề cùng nhóm sản phẩm có thể có mô hình kinh tế hoàn toàn khác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Phân khúc</w:t>
            </w:r>
          </w:p>
        </w:tc>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Đặc điểm</w:t>
            </w:r>
          </w:p>
        </w:tc>
        <w:tc>
          <w:tcPr>
            <w:tcW w:type="dxa" w:w="3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Ví dụ minh hoạ</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Định hướng xuất khẩu</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Tỷ trọng doanh thu từ xuất khẩu cao, sản phẩm giá trị đơn vị cao, phụ thuộc thị trường quốc tế và biến động tỷ giá/thuế quan</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Khảm trai Chuôn Ngọ (xuất khẩu Nhật, Âu, Mỹ), Đồ gỗ Đồng Kỵ</w:t>
            </w:r>
          </w:p>
        </w:tc>
      </w:tr>
      <w:tr>
        <w:tc>
          <w:tcPr>
            <w:tcW w:type="dxa" w:w="2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Định hướng du lịch &amp; trải nghiệm</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Doanh thu gắn với lượng khách tham quan, bán lẻ tại chỗ, ít phụ thuộc xuất khẩu trực tiếp</w:t>
            </w:r>
          </w:p>
        </w:tc>
        <w:tc>
          <w:tcPr>
            <w:tcW w:type="dxa" w:w="3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Gốm Bát Tràng (mô hình thương mại hoá mạnh), một phần Gốm Kim Lan (bảo tàng gốm cộng đồng)</w:t>
            </w:r>
          </w:p>
        </w:tc>
      </w:tr>
      <w:tr>
        <w:tc>
          <w:tcPr>
            <w:tcW w:type="dxa" w:w="2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Định hướng nội địa/hộ gia đình</w:t>
            </w:r>
          </w:p>
        </w:tc>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Quy mô nhỏ, tiêu thụ chủ yếu thị trường nội địa, ít hoặc chưa có thương hiệu tập thể mạnh</w:t>
            </w:r>
          </w:p>
        </w:tc>
        <w:tc>
          <w:tcPr>
            <w:tcW w:type="dxa" w:w="3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Phần lớn trong ~5.400 làng nghề chưa được công nhận truyền thống</w:t>
            </w:r>
          </w:p>
        </w:tc>
      </w:tr>
      <w:tr>
        <w:tc>
          <w:tcPr>
            <w:tcW w:type="dxa" w:w="2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Bảo tồn di sản có rủi ro mai một cao</w:t>
            </w:r>
          </w:p>
        </w:tc>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Giá trị văn hoá/lịch sử rất cao nhưng quy mô kinh tế nhỏ và suy giảm, cần can thiệp bảo tồn trước khi bàn thương mại hoá</w:t>
            </w:r>
          </w:p>
        </w:tc>
        <w:tc>
          <w:tcPr>
            <w:tcW w:type="dxa" w:w="3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Tranh Đông Hồ (di sản cần bảo vệ khẩn cấp theo UNESCO)</w:t>
            </w:r>
          </w:p>
        </w:tc>
      </w:tr>
    </w:tbl>
    <w:p>
      <w:pPr>
        <w:spacing w:after="120"/>
      </w:pPr>
    </w:p>
    <w:p>
      <w:pPr>
        <w:spacing w:after="160" w:line="276"/>
        <w:jc w:val="both"/>
      </w:pPr>
      <w:r>
        <w:rPr>
          <w:rFonts w:ascii="Calibri" w:cs="Calibri" w:eastAsia="Calibri" w:hAnsi="Calibri"/>
          <w:sz w:val="21"/>
          <w:szCs w:val="21"/>
        </w:rPr>
        <w:t xml:space="preserve">Gốm Kim Lan và Khảm trai Chuôn Ngọ — hai làng nghề được chọn nghiên cứu chuyên sâu — đại diện cho hai phân khúc khác nhau rõ rệt (du lịch/di sản vs. xuất khẩu giá trị cao), tạo độ tương phản cần thiết để kiểm định khung phân tích trên nhiều loại mô hình kinh tế, thay vì hai case study có cấu trúc tương tự.</w:t>
      </w:r>
    </w:p>
    <w:p>
      <w:pPr>
        <w:pStyle w:val="Heading1"/>
        <w:pBdr>
          <w:bottom w:val="single" w:color="8B1E3F" w:sz="6" w:space="4"/>
        </w:pBdr>
        <w:spacing w:after="200" w:before="480"/>
      </w:pPr>
      <w:r>
        <w:rPr>
          <w:rFonts w:ascii="Calibri" w:cs="Calibri" w:eastAsia="Calibri" w:hAnsi="Calibri"/>
          <w:b/>
          <w:bCs/>
          <w:color w:val="1F2937"/>
          <w:sz w:val="30"/>
          <w:szCs w:val="30"/>
        </w:rPr>
        <w:t xml:space="preserve">7. Tổng Quan ESG Cấp Ngành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Trụ cột</w:t>
            </w:r>
          </w:p>
        </w:tc>
        <w:tc>
          <w:tcPr>
            <w:tcW w:type="dxa" w:w="7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Đánh giá cấp ngành</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Environmental</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Rủi ro không đồng đều theo nhóm sản phẩm: cao ở gốm sứ (khí thải lò nung), chế tác đá (bụi, tiếng ồn), khảm trai/sơn mài (bụi mài, hoá chất xử lý bề mặt); thấp hơn ở dệt/thêu thủ công. Phần lớn làng nghề chưa có hệ thống xử lý chất thải tập trung ở quy mô hộ gia đình.</w:t>
            </w:r>
          </w:p>
        </w:tc>
      </w:tr>
      <w:tr>
        <w:tc>
          <w:tcPr>
            <w:tcW w:type="dxa" w:w="1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Social</w:t>
            </w:r>
          </w:p>
        </w:tc>
        <w:tc>
          <w:tcPr>
            <w:tcW w:type="dxa" w:w="7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Điểm mạnh cấu trúc của ngành: tạo việc làm tại chỗ cho lao động nông thôn, giữ chân dân số không phải di cư ra đô thị, bảo tồn tri thức truyền thống. Điểm yếu: thiếu cơ chế truyền nghề bài bản, phụ thuộc mô hình gia đình/dòng họ khiến rủi ro đứt gãy thế hệ cao khi không có người kế thừa.</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Governance</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Phần lớn vận hành ở quy mô hộ gia đình hoặc hợp tác xã nhỏ, thiếu cấu trúc quản trị minh bạch và báo cáo tài chính chuẩn hoá — đây là rào cản trực tiếp cho khả năng tiếp cận vốn chính thức (ngân hàng, quỹ đầu tư tác động) và cũng là giới hạn dữ liệu chính của báo cáo này.</w:t>
            </w:r>
          </w:p>
        </w:tc>
      </w:tr>
    </w:tbl>
    <w:p>
      <w:pPr>
        <w:pStyle w:val="Heading1"/>
        <w:pBdr>
          <w:bottom w:val="single" w:color="8B1E3F" w:sz="6" w:space="4"/>
        </w:pBdr>
        <w:spacing w:after="200" w:before="480"/>
      </w:pPr>
      <w:r>
        <w:rPr>
          <w:rFonts w:ascii="Calibri" w:cs="Calibri" w:eastAsia="Calibri" w:hAnsi="Calibri"/>
          <w:b/>
          <w:bCs/>
          <w:color w:val="1F2937"/>
          <w:sz w:val="30"/>
          <w:szCs w:val="30"/>
        </w:rPr>
        <w:t xml:space="preserve">8. Rủi Ro &amp; Thách Thức Cấu Trúc</w:t>
      </w:r>
    </w:p>
    <w:p>
      <w:pPr>
        <w:pStyle w:val="ListParagraph"/>
        <w:numPr>
          <w:ilvl w:val="0"/>
          <w:numId w:val="2"/>
        </w:numPr>
        <w:spacing w:after="100" w:line="270"/>
      </w:pPr>
      <w:r>
        <w:rPr>
          <w:rFonts w:ascii="Calibri" w:cs="Calibri" w:eastAsia="Calibri" w:hAnsi="Calibri"/>
          <w:sz w:val="21"/>
          <w:szCs w:val="21"/>
        </w:rPr>
        <w:t xml:space="preserve">Mai một lực lượng nghệ nhân kế cận — rủi ro nhân khẩu học dài hạn nghiêm trọng nhất, không thể giải quyết bằng vốn đơn thuần mà cần cơ chế đào tạo và tạo động lực thu nhập cạnh tranh với lao động công nghiệp.</w:t>
      </w:r>
    </w:p>
    <w:p>
      <w:pPr>
        <w:pStyle w:val="ListParagraph"/>
        <w:numPr>
          <w:ilvl w:val="0"/>
          <w:numId w:val="2"/>
        </w:numPr>
        <w:spacing w:after="100" w:line="270"/>
      </w:pPr>
      <w:r>
        <w:rPr>
          <w:rFonts w:ascii="Calibri" w:cs="Calibri" w:eastAsia="Calibri" w:hAnsi="Calibri"/>
          <w:sz w:val="21"/>
          <w:szCs w:val="21"/>
        </w:rPr>
        <w:t xml:space="preserve">Cạnh tranh giá từ hàng công nghiệp mô phỏng phong cách thủ công, đặc biệt ở phân khúc phổ thông.</w:t>
      </w:r>
    </w:p>
    <w:p>
      <w:pPr>
        <w:pStyle w:val="ListParagraph"/>
        <w:numPr>
          <w:ilvl w:val="0"/>
          <w:numId w:val="2"/>
        </w:numPr>
        <w:spacing w:after="100" w:line="270"/>
      </w:pPr>
      <w:r>
        <w:rPr>
          <w:rFonts w:ascii="Calibri" w:cs="Calibri" w:eastAsia="Calibri" w:hAnsi="Calibri"/>
          <w:sz w:val="21"/>
          <w:szCs w:val="21"/>
        </w:rPr>
        <w:t xml:space="preserve">Thiếu minh bạch dữ liệu tài chính cấp làng nghề, hạn chế khả năng tiếp cận tín dụng chính thức và đầu tư tác động (impact investing).</w:t>
      </w:r>
    </w:p>
    <w:p>
      <w:pPr>
        <w:pStyle w:val="ListParagraph"/>
        <w:numPr>
          <w:ilvl w:val="0"/>
          <w:numId w:val="2"/>
        </w:numPr>
        <w:spacing w:after="100" w:line="270"/>
      </w:pPr>
      <w:r>
        <w:rPr>
          <w:rFonts w:ascii="Calibri" w:cs="Calibri" w:eastAsia="Calibri" w:hAnsi="Calibri"/>
          <w:sz w:val="21"/>
          <w:szCs w:val="21"/>
        </w:rPr>
        <w:t xml:space="preserve">Rủi ro môi trường tại chỗ ở các nhóm ngành có phát thải/chất thải cao, có thể dẫn đến hạn chế sản xuất hoặc chi phí tuân thủ tăng trong tương lai.</w:t>
      </w:r>
    </w:p>
    <w:p>
      <w:pPr>
        <w:pStyle w:val="ListParagraph"/>
        <w:numPr>
          <w:ilvl w:val="0"/>
          <w:numId w:val="2"/>
        </w:numPr>
        <w:spacing w:after="100" w:line="270"/>
      </w:pPr>
      <w:r>
        <w:rPr>
          <w:rFonts w:ascii="Calibri" w:cs="Calibri" w:eastAsia="Calibri" w:hAnsi="Calibri"/>
          <w:sz w:val="21"/>
          <w:szCs w:val="21"/>
        </w:rPr>
        <w:t xml:space="preserve">Phụ thuộc trung gian phân phối khiến biên lợi nhuận bị nén ở khâu sản xuất — rủi ro mang tính cấu trúc chuỗi giá trị, không tự giải quyết theo thời gian nếu không có can thiệp chủ động.</w:t>
      </w:r>
    </w:p>
    <w:p>
      <w:pPr>
        <w:pStyle w:val="ListParagraph"/>
        <w:numPr>
          <w:ilvl w:val="0"/>
          <w:numId w:val="2"/>
        </w:numPr>
        <w:spacing w:after="100" w:line="270"/>
      </w:pPr>
      <w:r>
        <w:rPr>
          <w:rFonts w:ascii="Calibri" w:cs="Calibri" w:eastAsia="Calibri" w:hAnsi="Calibri"/>
          <w:sz w:val="21"/>
          <w:szCs w:val="21"/>
        </w:rPr>
        <w:t xml:space="preserve">Biến động chính sách hỗ trợ (nghị định thay thế 52/2018/NĐ-CP đang soạn thảo) tạo bất định về mức độ và hình thức hỗ trợ tài chính trong trung hạn.</w:t>
      </w:r>
    </w:p>
    <w:p>
      <w:pPr>
        <w:pStyle w:val="Heading1"/>
        <w:pBdr>
          <w:bottom w:val="single" w:color="8B1E3F" w:sz="6" w:space="4"/>
        </w:pBdr>
        <w:spacing w:after="200" w:before="480"/>
      </w:pPr>
      <w:r>
        <w:rPr>
          <w:rFonts w:ascii="Calibri" w:cs="Calibri" w:eastAsia="Calibri" w:hAnsi="Calibri"/>
          <w:b/>
          <w:bCs/>
          <w:color w:val="1F2937"/>
          <w:sz w:val="30"/>
          <w:szCs w:val="30"/>
        </w:rPr>
        <w:t xml:space="preserve">9. Hàm Ý Đầu Tư &amp; Khung Sàng Lọc</w:t>
      </w:r>
    </w:p>
    <w:p>
      <w:pPr>
        <w:spacing w:after="160" w:line="276"/>
        <w:jc w:val="both"/>
      </w:pPr>
      <w:r>
        <w:rPr>
          <w:rFonts w:ascii="Calibri" w:cs="Calibri" w:eastAsia="Calibri" w:hAnsi="Calibri"/>
          <w:sz w:val="21"/>
          <w:szCs w:val="21"/>
        </w:rPr>
        <w:t xml:space="preserve">Ba kết luận cấu trúc từ phân tích ngành định hình cách tiếp cận đầu tư/can thiệp ở cấp độ từng làng nghề:</w:t>
      </w:r>
    </w:p>
    <w:p>
      <w:pPr>
        <w:pStyle w:val="ListParagraph"/>
        <w:numPr>
          <w:ilvl w:val="0"/>
          <w:numId w:val="2"/>
        </w:numPr>
        <w:spacing w:after="100" w:line="270"/>
      </w:pPr>
      <w:r>
        <w:rPr>
          <w:rFonts w:ascii="Calibri" w:cs="Calibri" w:eastAsia="Calibri" w:hAnsi="Calibri"/>
          <w:sz w:val="21"/>
          <w:szCs w:val="21"/>
        </w:rPr>
        <w:t xml:space="preserve">Không đầu tư dàn trải: với 5.400 làng nghề nhưng phân bố giá trị lệch mạnh, nguồn lực (vốn, thời gian, chú ý) nên tập trung vào nhóm làng nghề có moat rõ ràng (chỉ dẫn địa lý, kỹ nghệ độc bản) nhưng đang bị giới hạn bởi năng lực thương mại hoá — đây chính là logic của ma trận sàng lọc 7 tiêu chí trong Dashboard đi kèm.</w:t>
      </w:r>
    </w:p>
    <w:p>
      <w:pPr>
        <w:pStyle w:val="ListParagraph"/>
        <w:numPr>
          <w:ilvl w:val="0"/>
          <w:numId w:val="2"/>
        </w:numPr>
        <w:spacing w:after="100" w:line="270"/>
      </w:pPr>
      <w:r>
        <w:rPr>
          <w:rFonts w:ascii="Calibri" w:cs="Calibri" w:eastAsia="Calibri" w:hAnsi="Calibri"/>
          <w:sz w:val="21"/>
          <w:szCs w:val="21"/>
        </w:rPr>
        <w:t xml:space="preserve">Can thiệp hiệu quả nhất nằm ở thượng nguồn giá trị: thiết kế, thương hiệu, kênh phân phối trực tiếp — không phải mở rộng quy mô sản xuất, nơi biên lợi nhuận biên tế thấp nhất.</w:t>
      </w:r>
    </w:p>
    <w:p>
      <w:pPr>
        <w:pStyle w:val="ListParagraph"/>
        <w:numPr>
          <w:ilvl w:val="0"/>
          <w:numId w:val="2"/>
        </w:numPr>
        <w:spacing w:after="100" w:line="270"/>
      </w:pPr>
      <w:r>
        <w:rPr>
          <w:rFonts w:ascii="Calibri" w:cs="Calibri" w:eastAsia="Calibri" w:hAnsi="Calibri"/>
          <w:sz w:val="21"/>
          <w:szCs w:val="21"/>
        </w:rPr>
        <w:t xml:space="preserve">Rủi ro nhân khẩu học (mai một nghệ nhân) là yếu tố định giá dài hạn quan trọng hơn rủi ro thị trường ngắn hạn — một làng nghề có nhu cầu thị trường tốt nhưng không có người kế nghề có "thời hạn sử dụng" hữu hạn như một tài sản đang suy giảm (depleting asset).</w:t>
      </w:r>
    </w:p>
    <w:p>
      <w:pPr>
        <w:spacing w:after="160" w:line="276"/>
        <w:jc w:val="both"/>
      </w:pPr>
      <w:r>
        <w:rPr>
          <w:rFonts w:ascii="Calibri" w:cs="Calibri" w:eastAsia="Calibri" w:hAnsi="Calibri"/>
          <w:sz w:val="21"/>
          <w:szCs w:val="21"/>
        </w:rPr>
        <w:t xml:space="preserve">Hai Investment Analysis Report đi kèm — Gốm Kim Lan (đại diện phân khúc du lịch/di sản) và Khảm trai Chuôn Ngọ (đại diện phân khúc xuất khẩu giá trị cao) — áp dụng cụ thể các kết luận trên vào từng luận điểm đầu tư, sử dụng chung cấu trúc phân tích để đảm bảo khả năng so sánh trực tiếp.</w:t>
      </w:r>
    </w:p>
    <w:p>
      <w:pPr>
        <w:spacing w:after="120"/>
      </w:pPr>
    </w:p>
    <w:p>
      <w:pPr>
        <w:pBdr>
          <w:top w:val="single" w:color="8B1E3F" w:sz="6" w:space="8"/>
        </w:pBdr>
        <w:spacing w:before="200"/>
      </w:pPr>
      <w:r>
        <w:rPr>
          <w:rFonts w:ascii="Calibri" w:cs="Calibri" w:eastAsia="Calibri" w:hAnsi="Calibri"/>
          <w:i/>
          <w:iCs/>
          <w:color w:val="6B7280"/>
          <w:sz w:val="17"/>
          <w:szCs w:val="17"/>
        </w:rPr>
        <w:t xml:space="preserve">Nguồn dữ liệu: Bộ Văn hoá, Thể thao và Du lịch; Bộ Công Thương/VIETRADE; Bộ Nông nghiệp và Môi trường; Hiệp hội Làng nghề Việt Nam; UBND TP. Hà Nội; VCCI Trung tâm WTO; các báo cáo báo chí trong nước được trích dẫn tại từng mục. Số liệu định lượng ở cấp làng nghề cụ thể được trình bày chi tiết trong hai Investment Analysis Report và Dashboard đi kèm.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2026-07-21T06:07:27.664Z</dcterms:created>
  <dcterms:modified xsi:type="dcterms:W3CDTF">2026-07-21T06:07:27.665Z</dcterms:modified>
</cp:coreProperties>
</file>

<file path=docProps/custom.xml><?xml version="1.0" encoding="utf-8"?>
<Properties xmlns="http://schemas.openxmlformats.org/officeDocument/2006/custom-properties" xmlns:vt="http://schemas.openxmlformats.org/officeDocument/2006/docPropsVTypes"/>
</file>