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Calibri" w:cs="Calibri" w:eastAsia="Calibri" w:hAnsi="Calibri"/>
          <w:b/>
          <w:bCs/>
          <w:caps/>
          <w:color w:val="8B1E3F"/>
          <w:sz w:val="18"/>
          <w:szCs w:val="18"/>
        </w:rPr>
        <w:t xml:space="preserve">INVESTMENT ANALYSIS REPORT — COVERAGE INITIATION</w:t>
      </w:r>
    </w:p>
    <w:p>
      <w:pPr>
        <w:spacing w:after="360"/>
        <w:jc w:val="center"/>
      </w:pPr>
      <w:r>
        <w:rPr>
          <w:rFonts w:ascii="Calibri" w:cs="Calibri" w:eastAsia="Calibri" w:hAnsi="Calibri"/>
          <w:caps/>
          <w:color w:val="6B7280"/>
          <w:sz w:val="18"/>
          <w:szCs w:val="18"/>
        </w:rPr>
        <w:t xml:space="preserve">Vietnamese Traditional Craft Village Investment Series — Report 1 of 2</w:t>
      </w:r>
    </w:p>
    <w:p>
      <w:pPr>
        <w:spacing w:after="200"/>
        <w:jc w:val="center"/>
      </w:pPr>
      <w:r>
        <w:rPr>
          <w:rFonts w:ascii="Calibri" w:cs="Calibri" w:eastAsia="Calibri" w:hAnsi="Calibri"/>
          <w:b/>
          <w:bCs/>
          <w:color w:val="1F2937"/>
          <w:sz w:val="34"/>
          <w:szCs w:val="34"/>
        </w:rPr>
        <w:t xml:space="preserve">Kim Lan Pottery Village</w:t>
      </w:r>
    </w:p>
    <w:p>
      <w:pPr>
        <w:spacing w:after="500"/>
        <w:jc w:val="center"/>
      </w:pPr>
      <w:r>
        <w:rPr>
          <w:rFonts w:ascii="Calibri" w:cs="Calibri" w:eastAsia="Calibri" w:hAnsi="Calibri"/>
          <w:b/>
          <w:bCs/>
          <w:color w:val="8B1E3F"/>
          <w:sz w:val="26"/>
          <w:szCs w:val="26"/>
        </w:rPr>
        <w:t xml:space="preserve">Gốm Kim Lan — Gia Lâm, Hà Nội</w:t>
      </w:r>
    </w:p>
    <w:p>
      <w:pPr>
        <w:spacing w:after="300"/>
        <w:jc w:val="center"/>
      </w:pPr>
      <w:r>
        <w:rPr>
          <w:rFonts w:ascii="Calibri" w:cs="Calibri" w:eastAsia="Calibri" w:hAnsi="Calibri"/>
          <w:i/>
          <w:iCs/>
          <w:color w:val="6B7280"/>
          <w:sz w:val="20"/>
          <w:szCs w:val="20"/>
        </w:rPr>
        <w:t xml:space="preserve">Di sản khảo cổ sống bên sông Hồng: cơ hội tái định vị từ sản xuất đại trà sang du lịch di sản</w:t>
      </w:r>
    </w:p>
    <w:p>
      <w:pPr>
        <w:spacing w:after="300"/>
      </w:pPr>
    </w:p>
    <w:p>
      <w:pPr>
        <w:spacing w:after="40"/>
        <w:jc w:val="center"/>
      </w:pPr>
      <w:r>
        <w:rPr>
          <w:rFonts w:ascii="Calibri" w:cs="Calibri" w:eastAsia="Calibri" w:hAnsi="Calibri"/>
          <w:b/>
          <w:bCs/>
          <w:color w:val="1F2937"/>
          <w:sz w:val="22"/>
          <w:szCs w:val="22"/>
        </w:rPr>
        <w:t xml:space="preserve">KHUYẾN NGHỊ: </w:t>
      </w:r>
      <w:r>
        <w:rPr>
          <w:rFonts w:ascii="Calibri" w:cs="Calibri" w:eastAsia="Calibri" w:hAnsi="Calibri"/>
          <w:b/>
          <w:bCs/>
          <w:color w:val="1B5E3C"/>
          <w:sz w:val="22"/>
          <w:szCs w:val="22"/>
        </w:rPr>
        <w:t xml:space="preserve">OVERWEIGHT (có điều kiện) — Ưu tiên can thiệp thương hiệu &amp; du lịch trải nghiệm</w:t>
      </w:r>
    </w:p>
    <w:p>
      <w:pPr>
        <w:spacing w:after="900"/>
      </w:pPr>
    </w:p>
    <w:p>
      <w:pPr>
        <w:spacing w:after="60"/>
        <w:jc w:val="center"/>
      </w:pPr>
      <w:r>
        <w:rPr>
          <w:rFonts w:ascii="Calibri" w:cs="Calibri" w:eastAsia="Calibri" w:hAnsi="Calibri"/>
          <w:b/>
          <w:bCs/>
          <w:sz w:val="20"/>
          <w:szCs w:val="20"/>
        </w:rPr>
        <w:t xml:space="preserve">Thực hiện bởi: Tuấn — Sinh viên ngành Finance &amp; Economics</w:t>
      </w:r>
    </w:p>
    <w:p>
      <w:pPr>
        <w:spacing w:after="60"/>
        <w:jc w:val="center"/>
      </w:pPr>
      <w:r>
        <w:rPr>
          <w:rFonts w:ascii="Calibri" w:cs="Calibri" w:eastAsia="Calibri" w:hAnsi="Calibri"/>
          <w:color w:val="6B7280"/>
          <w:sz w:val="18"/>
          <w:szCs w:val="18"/>
        </w:rPr>
        <w:t xml:space="preserve">Independent Investment Research Project — Draft v1 — Tháng 7/2026</w:t>
      </w:r>
    </w:p>
    <w:p>
      <w:r>
        <w:br w:type="page"/>
      </w:r>
    </w:p>
    <w:p>
      <w:pPr>
        <w:pStyle w:val="Heading1"/>
        <w:pBdr>
          <w:bottom w:val="single" w:color="8B1E3F" w:sz="6" w:space="4"/>
        </w:pBdr>
        <w:spacing w:after="200" w:before="480"/>
      </w:pPr>
      <w:r>
        <w:rPr>
          <w:rFonts w:ascii="Calibri" w:cs="Calibri" w:eastAsia="Calibri" w:hAnsi="Calibri"/>
          <w:b/>
          <w:bCs/>
          <w:color w:val="1F2937"/>
          <w:sz w:val="28"/>
          <w:szCs w:val="28"/>
        </w:rPr>
        <w:t xml:space="preserve">1. Investment Snapshot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Chỉ tiêu</w:t>
            </w:r>
          </w:p>
        </w:tc>
        <w:tc>
          <w:tcPr>
            <w:tcW w:type="dxa" w:w="68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Giá trị</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Vị trí</w:t>
            </w:r>
          </w:p>
        </w:tc>
        <w:tc>
          <w:tcPr>
            <w:tcW w:type="dxa" w:w="6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Xã Kim Lan, huyện Gia Lâm, Hà Nội — cách trung tâm Hà Nội ~20-30km, liền kề làng gốm Bát Tràng</w:t>
            </w:r>
          </w:p>
        </w:tc>
      </w:tr>
      <w:tr>
        <w:tc>
          <w:tcPr>
            <w:tcW w:type="dxa" w:w="2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Lịch sử</w:t>
            </w:r>
          </w:p>
        </w:tc>
        <w:tc>
          <w:tcPr>
            <w:tcW w:type="dxa" w:w="6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~900-1.000 năm — có dấu tích gốm được xác định sớm hơn cả Bát Tràng</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Công nhận</w:t>
            </w:r>
          </w:p>
        </w:tc>
        <w:tc>
          <w:tcPr>
            <w:tcW w:type="dxa" w:w="6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Làng nghề truyền thống (UBND TP Hà Nội, 2010); thương hiệu tập thể từ 2009; có Bảo tàng gốm cộng đồng</w:t>
            </w:r>
          </w:p>
        </w:tc>
      </w:tr>
      <w:tr>
        <w:tc>
          <w:tcPr>
            <w:tcW w:type="dxa" w:w="2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Quy mô sản xuất</w:t>
            </w:r>
          </w:p>
        </w:tc>
        <w:tc>
          <w:tcPr>
            <w:tcW w:type="dxa" w:w="6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~350 lò gốm hoạt động (2025), giảm từ ~750 lò (thập niên 1990)</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Doanh thu ước tính toàn làng</w:t>
            </w:r>
          </w:p>
        </w:tc>
        <w:tc>
          <w:tcPr>
            <w:tcW w:type="dxa" w:w="6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~500 tỷ VNĐ/năm (2025)</w:t>
            </w:r>
          </w:p>
        </w:tc>
      </w:tr>
      <w:tr>
        <w:tc>
          <w:tcPr>
            <w:tcW w:type="dxa" w:w="2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Mô hình kinh tế chính</w:t>
            </w:r>
          </w:p>
        </w:tc>
        <w:tc>
          <w:tcPr>
            <w:tcW w:type="dxa" w:w="6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Sản xuất gốm gia dụng + du lịch trải nghiệm/bảo tàng cộng đồng</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Điểm sàng lọc (Dashboard, thang 5)</w:t>
            </w:r>
          </w:p>
        </w:tc>
        <w:tc>
          <w:tcPr>
            <w:tcW w:type="dxa" w:w="6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3.60/5 — Xếp hạng 3/10 trong longlist</w:t>
            </w:r>
          </w:p>
        </w:tc>
      </w:tr>
    </w:tbl>
    <w:p>
      <w:pPr>
        <w:spacing w:after="100"/>
      </w:pPr>
    </w:p>
    <w:p>
      <w:pPr>
        <w:spacing w:after="150" w:line="270"/>
        <w:jc w:val="both"/>
      </w:pPr>
      <w:r>
        <w:rPr>
          <w:rFonts w:ascii="Calibri" w:cs="Calibri" w:eastAsia="Calibri" w:hAnsi="Calibri"/>
          <w:b/>
          <w:bCs/>
          <w:color w:val="1F2937"/>
          <w:sz w:val="20"/>
          <w:szCs w:val="20"/>
        </w:rPr>
        <w:t xml:space="preserve">Luận điểm đầu tư (1 câu): </w:t>
      </w:r>
      <w:r>
        <w:rPr>
          <w:rFonts w:ascii="Calibri" w:cs="Calibri" w:eastAsia="Calibri" w:hAnsi="Calibri"/>
          <w:sz w:val="20"/>
          <w:szCs w:val="20"/>
        </w:rPr>
        <w:t xml:space="preserve">Kim Lan sở hữu moat di sản-khảo cổ mạnh nhất trong nhóm làng gốm miền Bắc nhưng đang định giá thấp hơn tiềm năng do bị lu mờ thương hiệu bởi Bát Tràng liền kề — cơ hội nằm ở tái định vị sang phân khúc du lịch di sản/giáo dục thay vì cạnh tranh trực diện về sản lượng gốm gia dụng.</w:t>
      </w:r>
    </w:p>
    <w:p>
      <w:pPr>
        <w:spacing w:after="150" w:line="270"/>
        <w:jc w:val="both"/>
      </w:pPr>
      <w:r>
        <w:rPr>
          <w:rFonts w:ascii="Calibri" w:cs="Calibri" w:eastAsia="Calibri" w:hAnsi="Calibri"/>
          <w:b/>
          <w:bCs/>
          <w:color w:val="1F2937"/>
          <w:sz w:val="20"/>
          <w:szCs w:val="20"/>
        </w:rPr>
        <w:t xml:space="preserve">Rủi ro trọng yếu: </w:t>
      </w:r>
      <w:r>
        <w:rPr>
          <w:rFonts w:ascii="Calibri" w:cs="Calibri" w:eastAsia="Calibri" w:hAnsi="Calibri"/>
          <w:sz w:val="20"/>
          <w:szCs w:val="20"/>
        </w:rPr>
        <w:t xml:space="preserve">Suy giảm số lò sản xuất do mai một lao động kế cận (750 → 350 trong ~30 năm) là rủi ro nhân khẩu học dài hạn, không thể giải quyết bằng vốn đơn thuần.</w:t>
      </w:r>
    </w:p>
    <w:p>
      <w:pPr>
        <w:pStyle w:val="Heading1"/>
        <w:pBdr>
          <w:bottom w:val="single" w:color="8B1E3F" w:sz="6" w:space="4"/>
        </w:pBdr>
        <w:spacing w:after="200" w:before="480"/>
      </w:pPr>
      <w:r>
        <w:rPr>
          <w:rFonts w:ascii="Calibri" w:cs="Calibri" w:eastAsia="Calibri" w:hAnsi="Calibri"/>
          <w:b/>
          <w:bCs/>
          <w:color w:val="1F2937"/>
          <w:sz w:val="28"/>
          <w:szCs w:val="28"/>
        </w:rPr>
        <w:t xml:space="preserve">2. Village &amp; Craft Overview</w:t>
      </w:r>
    </w:p>
    <w:p>
      <w:pPr>
        <w:spacing w:after="150" w:line="270"/>
        <w:jc w:val="both"/>
      </w:pPr>
      <w:r>
        <w:rPr>
          <w:rFonts w:ascii="Calibri" w:cs="Calibri" w:eastAsia="Calibri" w:hAnsi="Calibri"/>
          <w:sz w:val="20"/>
          <w:szCs w:val="20"/>
        </w:rPr>
        <w:t xml:space="preserve">Kim Lan là làng gốm cổ nhất được ghi nhận trong khu vực đồng bằng sông Hồng, với dấu tích khảo cổ cho thấy nghề gốm tồn tại tại đây từ trước cả Bát Tràng — làng gốm nổi tiếng hơn nằm ngay bên kia dòng kênh Bắc Hưng Hải. Đặc trưng sản phẩm của Kim Lan là gốm gia dụng thiên về công năng (chum vại, chậu cảnh, bình hoa, bát đĩa, lư hương), ít chú trọng chi tiết trang trí cầu kỳ như dòng gốm mỹ nghệ cao cấp.</w:t>
      </w:r>
    </w:p>
    <w:p>
      <w:pPr>
        <w:spacing w:after="150" w:line="270"/>
        <w:jc w:val="both"/>
      </w:pPr>
      <w:r>
        <w:rPr>
          <w:rFonts w:ascii="Calibri" w:cs="Calibri" w:eastAsia="Calibri" w:hAnsi="Calibri"/>
          <w:sz w:val="20"/>
          <w:szCs w:val="20"/>
        </w:rPr>
        <w:t xml:space="preserve">Khác với Bát Tràng — nơi đã thương mại hoá mạnh và trở thành điểm đến du lịch quy mô lớn — Kim Lan duy trì nhịp độ sản xuất truyền thống hơn, được mô tả trên báo chí trong nước như một "lớp trầm tích văn hoá bền bỉ". Làng đã xây dựng hai bảo tàng gốm (Bảo tàng gốm Lịch sử và Bảo tàng gốm hiện đại), tạo nền tảng cho mô hình du lịch trải nghiệm kết hợp trưng bày sản phẩm OCOP.</w:t>
      </w:r>
    </w:p>
    <w:p>
      <w:pPr>
        <w:spacing w:after="150" w:line="270"/>
        <w:jc w:val="both"/>
      </w:pPr>
      <w:r>
        <w:rPr>
          <w:rFonts w:ascii="Calibri" w:cs="Calibri" w:eastAsia="Calibri" w:hAnsi="Calibri"/>
          <w:sz w:val="20"/>
          <w:szCs w:val="20"/>
        </w:rPr>
        <w:t xml:space="preserve">Về mặt tổ chức, sản xuất vẫn chủ yếu ở quy mô hộ gia đình/lò gốm cá thể, chưa có một thực thể kinh tế tập trung (hợp tác xã lớn hoặc doanh nghiệp) đóng vai trò điều phối thương hiệu chung cho toàn làng, dù đã có thương hiệu tập thể đăng ký từ 2009.</w:t>
      </w:r>
    </w:p>
    <w:p>
      <w:pPr>
        <w:pStyle w:val="Heading1"/>
        <w:pBdr>
          <w:bottom w:val="single" w:color="8B1E3F" w:sz="6" w:space="4"/>
        </w:pBdr>
        <w:spacing w:after="200" w:before="480"/>
      </w:pPr>
      <w:r>
        <w:rPr>
          <w:rFonts w:ascii="Calibri" w:cs="Calibri" w:eastAsia="Calibri" w:hAnsi="Calibri"/>
          <w:b/>
          <w:bCs/>
          <w:color w:val="1F2937"/>
          <w:sz w:val="28"/>
          <w:szCs w:val="28"/>
        </w:rPr>
        <w:t xml:space="preserve">3. Market Position &amp; TAM/SAM/SOM</w:t>
      </w:r>
    </w:p>
    <w:p>
      <w:pPr>
        <w:spacing w:after="150" w:line="270"/>
        <w:jc w:val="both"/>
      </w:pPr>
      <w:r>
        <w:rPr>
          <w:rFonts w:ascii="Calibri" w:cs="Calibri" w:eastAsia="Calibri" w:hAnsi="Calibri"/>
          <w:sz w:val="20"/>
          <w:szCs w:val="20"/>
        </w:rPr>
        <w:t xml:space="preserve">Kim Lan cạnh tranh trực tiếp trong phân khúc gốm gia dụng nội địa — một phân khúc có mức độ cạnh tranh cao từ cả gốm công nghiệp giá rẻ và các làng gốm khác (đặc biệt Bát Tràng, chỉ cách vài km). Ở phân khúc này, Kim Lan khó cạnh tranh về quy mô hay độ nhận diện thương hiệu.</w:t>
      </w:r>
    </w:p>
    <w:p>
      <w:pPr>
        <w:spacing w:after="150" w:line="270"/>
        <w:jc w:val="both"/>
      </w:pPr>
      <w:r>
        <w:rPr>
          <w:rFonts w:ascii="Calibri" w:cs="Calibri" w:eastAsia="Calibri" w:hAnsi="Calibri"/>
          <w:sz w:val="20"/>
          <w:szCs w:val="20"/>
        </w:rPr>
        <w:t xml:space="preserve">Tuy nhiên, ở phân khúc du lịch di sản/giáo dục trải nghiệm — nơi giá trị bán ra không chỉ là sản phẩm gốm mà là trải nghiệm và câu chuyện khảo cổ — Kim Lan có vị thế khác biệt hoá rõ rệt nhờ tính "nguyên bản, ít thương mại hoá" so với Bát Tràng.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300"/>
      </w:tblGrid>
      <w:tr>
        <w:trPr>
          <w:tblHeader/>
        </w:trPr>
        <w:tc>
          <w:tcPr>
            <w:tcW w:type="dxa" w:w="15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Cấp độ</w:t>
            </w:r>
          </w:p>
        </w:tc>
        <w:tc>
          <w:tcPr>
            <w:tcW w:type="dxa" w:w="36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Ước tính</w:t>
            </w:r>
          </w:p>
        </w:tc>
        <w:tc>
          <w:tcPr>
            <w:tcW w:type="dxa" w:w="43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Ghi chú</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TAM (tham chiếu)</w:t>
            </w:r>
          </w:p>
        </w:tc>
        <w:tc>
          <w:tcPr>
            <w:tcW w:type="dxa" w:w="3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SAM ngành ~800tr-1,2 tỷ USD (theo Industry Report)</w:t>
            </w:r>
          </w:p>
        </w:tc>
        <w:tc>
          <w:tcPr>
            <w:tcW w:type="dxa" w:w="43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Phân khúc gốm mỹ nghệ/di sản trong tổng SAM ngành thủ công mỹ nghệ</w:t>
            </w:r>
          </w:p>
        </w:tc>
      </w:tr>
      <w:tr>
        <w:tc>
          <w:tcPr>
            <w:tcW w:type="dxa" w:w="15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SAM (Kim Lan)</w:t>
            </w:r>
          </w:p>
        </w:tc>
        <w:tc>
          <w:tcPr>
            <w:tcW w:type="dxa" w:w="3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Phân khúc gốm gia dụng có câu chuyện di sản + du lịch trải nghiệm khu vực Hà Nội và phụ cận</w:t>
            </w:r>
          </w:p>
        </w:tc>
        <w:tc>
          <w:tcPr>
            <w:tcW w:type="dxa" w:w="43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Cạnh tranh trực tiếp với Bát Tràng và các điểm đến du lịch làng nghề khác quanh Hà Nội</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SOM (Kim Lan, 3-5 năm)</w:t>
            </w:r>
          </w:p>
        </w:tc>
        <w:tc>
          <w:tcPr>
            <w:tcW w:type="dxa" w:w="3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Ước tính thận trọng: tăng trưởng doanh thu du lịch/trải nghiệm 15-25%/năm nếu đầu tư bài bản vào hạ tầng bảo tàng và kết nối tour, trên nền doanh thu ~500 tỷ VNĐ hiện tại</w:t>
            </w:r>
          </w:p>
        </w:tc>
        <w:tc>
          <w:tcPr>
            <w:tcW w:type="dxa" w:w="43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Giả định phân tích, cần xác thực qua khảo sát lượng khách và chi tiêu bình quân thực tế — chưa có số liệu chính thức</w:t>
            </w:r>
          </w:p>
        </w:tc>
      </w:tr>
    </w:tbl>
    <w:p>
      <w:pPr>
        <w:pStyle w:val="Heading1"/>
        <w:pBdr>
          <w:bottom w:val="single" w:color="8B1E3F" w:sz="6" w:space="4"/>
        </w:pBdr>
        <w:spacing w:after="200" w:before="480"/>
      </w:pPr>
      <w:r>
        <w:rPr>
          <w:rFonts w:ascii="Calibri" w:cs="Calibri" w:eastAsia="Calibri" w:hAnsi="Calibri"/>
          <w:b/>
          <w:bCs/>
          <w:color w:val="1F2937"/>
          <w:sz w:val="28"/>
          <w:szCs w:val="28"/>
        </w:rPr>
        <w:t xml:space="preserve">4. Chuỗi Giá Trị &amp; Business Model Canvas</w:t>
      </w:r>
    </w:p>
    <w:p>
      <w:pPr>
        <w:pStyle w:val="Heading2"/>
        <w:spacing w:after="130" w:before="300"/>
      </w:pPr>
      <w:r>
        <w:rPr>
          <w:rFonts w:ascii="Calibri" w:cs="Calibri" w:eastAsia="Calibri" w:hAnsi="Calibri"/>
          <w:b/>
          <w:bCs/>
          <w:color w:val="8B1E3F"/>
          <w:sz w:val="23"/>
          <w:szCs w:val="23"/>
        </w:rPr>
        <w:t xml:space="preserve">4.1. Vị trí trong chuỗi giá trị</w:t>
      </w:r>
    </w:p>
    <w:p>
      <w:pPr>
        <w:spacing w:after="150" w:line="270"/>
        <w:jc w:val="both"/>
      </w:pPr>
      <w:r>
        <w:rPr>
          <w:rFonts w:ascii="Calibri" w:cs="Calibri" w:eastAsia="Calibri" w:hAnsi="Calibri"/>
          <w:sz w:val="20"/>
          <w:szCs w:val="20"/>
        </w:rPr>
        <w:t xml:space="preserve">Kim Lan hiện chủ yếu tham gia hai khâu đầu của chuỗi giá trị: nguyên liệu (đất sét khai thác tại chỗ) và sản xuất thủ công. Khâu thiết kế sản phẩm còn hạn chế đổi mới so với Bát Tràng; khâu thương hiệu có nền tảng (thương hiệu tập thể 2009) nhưng chưa được khai thác mạnh cho mục đích du lịch/giáo dục; khâu phân phối phụ thuộc chủ yếu bán tại chỗ và một phần nhỏ qua kênh du lịch.</w:t>
      </w:r>
    </w:p>
    <w:p>
      <w:pPr>
        <w:pStyle w:val="Heading2"/>
        <w:spacing w:after="130" w:before="300"/>
      </w:pPr>
      <w:r>
        <w:rPr>
          <w:rFonts w:ascii="Calibri" w:cs="Calibri" w:eastAsia="Calibri" w:hAnsi="Calibri"/>
          <w:b/>
          <w:bCs/>
          <w:color w:val="8B1E3F"/>
          <w:sz w:val="23"/>
          <w:szCs w:val="23"/>
        </w:rPr>
        <w:t xml:space="preserve">4.2. Business Model Canvas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5900"/>
      </w:tblGrid>
      <w:tr>
        <w:trPr>
          <w:tblHeader/>
        </w:trPr>
        <w:tc>
          <w:tcPr>
            <w:tcW w:type="dxa" w:w="29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Khối</w:t>
            </w:r>
          </w:p>
        </w:tc>
        <w:tc>
          <w:tcPr>
            <w:tcW w:type="dxa" w:w="59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Nội dung</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Đối tác chính</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Chính quyền địa phương (Sở VHTT Hà Nội, UBND huyện Gia Lâm), câu lạc bộ gốm Kim Lan, các đơn vị lữ hành khu vực Hà Nội, chương trình OCOP</w:t>
            </w:r>
          </w:p>
        </w:tc>
      </w:tr>
      <w:tr>
        <w:tc>
          <w:tcPr>
            <w:tcW w:type="dxa" w:w="2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Hoạt động chính</w:t>
            </w:r>
          </w:p>
        </w:tc>
        <w:tc>
          <w:tcPr>
            <w:tcW w:type="dxa" w:w="5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Sản xuất gốm gia dụng, vận hành bảo tàng gốm cộng đồng, tổ chức trải nghiệm làm gốm cho khách tham quan</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Nguồn lực chính</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Đất sét tại chỗ, ~350 lò gốm hoạt động, di sản khảo cổ/lịch sử ~900-1.000 năm, hai bảo tàng gốm</w:t>
            </w:r>
          </w:p>
        </w:tc>
      </w:tr>
      <w:tr>
        <w:tc>
          <w:tcPr>
            <w:tcW w:type="dxa" w:w="2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Giá trị đề xuất</w:t>
            </w:r>
          </w:p>
        </w:tc>
        <w:tc>
          <w:tcPr>
            <w:tcW w:type="dxa" w:w="5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Gốm gia dụng thực dụng, giá hợp lý; trải nghiệm du lịch di sản "nguyên bản, ít thương mại hoá" khác biệt với Bát Tràng</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Quan hệ khách hàng</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Chủ yếu giao dịch trực tiếp/tại chỗ, chưa có hệ thống CRM hay kênh số hoá bài bản</w:t>
            </w:r>
          </w:p>
        </w:tc>
      </w:tr>
      <w:tr>
        <w:tc>
          <w:tcPr>
            <w:tcW w:type="dxa" w:w="2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Kênh phân phối</w:t>
            </w:r>
          </w:p>
        </w:tc>
        <w:tc>
          <w:tcPr>
            <w:tcW w:type="dxa" w:w="5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Bán tại xưởng/bảo tàng, một phần qua kênh du lịch liên kết; kênh thương mại điện tử/xuất khẩu còn rất hạn chế</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Phân khúc khách hàng</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Người tiêu dùng nội địa mua gốm gia dụng; khách du lịch trong nước và một phần khách quốc tế quan tâm di sản khảo cổ</w:t>
            </w:r>
          </w:p>
        </w:tc>
      </w:tr>
      <w:tr>
        <w:tc>
          <w:tcPr>
            <w:tcW w:type="dxa" w:w="2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Cấu trúc chi phí</w:t>
            </w:r>
          </w:p>
        </w:tc>
        <w:tc>
          <w:tcPr>
            <w:tcW w:type="dxa" w:w="59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Chi phí nguyên liệu thấp (đất sét tại chỗ), chi phí nhân công là cấu phần lớn nhất, chi phí vận hành lò nung (nhiên liệu)</w:t>
            </w:r>
          </w:p>
        </w:tc>
      </w:tr>
      <w:tr>
        <w:tc>
          <w:tcPr>
            <w:tcW w:type="dxa" w:w="2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Dòng doanh thu</w:t>
            </w:r>
          </w:p>
        </w:tc>
        <w:tc>
          <w:tcPr>
            <w:tcW w:type="dxa" w:w="5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Bán gốm gia dụng trực tiếp; vé/thu phí trải nghiệm bảo tàng (tiềm năng, chưa khai thác đầy đủ); doanh thu OCOP</w:t>
            </w:r>
          </w:p>
        </w:tc>
      </w:tr>
    </w:tbl>
    <w:p>
      <w:pPr>
        <w:pStyle w:val="Heading1"/>
        <w:pBdr>
          <w:bottom w:val="single" w:color="8B1E3F" w:sz="6" w:space="4"/>
        </w:pBdr>
        <w:spacing w:after="200" w:before="480"/>
      </w:pPr>
      <w:r>
        <w:rPr>
          <w:rFonts w:ascii="Calibri" w:cs="Calibri" w:eastAsia="Calibri" w:hAnsi="Calibri"/>
          <w:b/>
          <w:bCs/>
          <w:color w:val="1F2937"/>
          <w:sz w:val="28"/>
          <w:szCs w:val="28"/>
        </w:rPr>
        <w:t xml:space="preserve">5. Competitive Advantage &amp; Moat Analysis</w:t>
      </w:r>
    </w:p>
    <w:p>
      <w:pPr>
        <w:spacing w:after="150" w:line="270"/>
        <w:jc w:val="both"/>
      </w:pPr>
      <w:r>
        <w:rPr>
          <w:rFonts w:ascii="Calibri" w:cs="Calibri" w:eastAsia="Calibri" w:hAnsi="Calibri"/>
          <w:sz w:val="20"/>
          <w:szCs w:val="20"/>
        </w:rPr>
        <w:t xml:space="preserve">Moat của Kim Lan không nằm ở quy mô hay công nghệ, mà ở tính xác thực lịch sử (authenticity) — dấu tích khảo cổ chứng minh nghề gốm tại đây có trước cả Bát Tràng là một tài sản vô hình không thể sao chép, tương tự khái niệm "first-mover heritage" trong kinh tế di sản.</w:t>
      </w:r>
    </w:p>
    <w:p>
      <w:pPr>
        <w:spacing w:after="150" w:line="270"/>
        <w:jc w:val="both"/>
      </w:pPr>
      <w:r>
        <w:rPr>
          <w:rFonts w:ascii="Calibri" w:cs="Calibri" w:eastAsia="Calibri" w:hAnsi="Calibri"/>
          <w:sz w:val="20"/>
          <w:szCs w:val="20"/>
        </w:rPr>
        <w:t xml:space="preserve">Tuy nhiên, moat này hiện chưa được chuyển hoá đầy đủ thành giá trị thương mại: phần lớn giá trị kinh tế của làng vẫn đến từ gốm gia dụng — một phân khúc có moat yếu vì dễ bị thay thế bởi Bát Tràng hoặc gốm công nghiệp. Đây là khoảng cách giữa "tài sản di sản" và "giá trị thương mại hoá" mà một chiến lược tái định vị có thể thu hẹp.</w:t>
      </w:r>
    </w:p>
    <w:p>
      <w:pPr>
        <w:spacing w:after="150" w:line="270"/>
        <w:jc w:val="both"/>
      </w:pPr>
      <w:r>
        <w:rPr>
          <w:rFonts w:ascii="Calibri" w:cs="Calibri" w:eastAsia="Calibri" w:hAnsi="Calibri"/>
          <w:sz w:val="20"/>
          <w:szCs w:val="20"/>
        </w:rPr>
        <w:t xml:space="preserve">Rủi ro xói mòn moat: nếu Bát Tràng tiếp tục mở rộng quy mô du lịch và "thu hút" hết luồng khách tham quan khu vực, câu chuyện khác biệt hoá của Kim Lan (yên tĩnh, nguyên bản, ít thương mại hoá) có thể trở thành bất lợi thay vì lợi thế nếu không được truyền thông đúng cách.</w:t>
      </w:r>
    </w:p>
    <w:p>
      <w:pPr>
        <w:pStyle w:val="Heading1"/>
        <w:pBdr>
          <w:bottom w:val="single" w:color="8B1E3F" w:sz="6" w:space="4"/>
        </w:pBdr>
        <w:spacing w:after="200" w:before="480"/>
      </w:pPr>
      <w:r>
        <w:rPr>
          <w:rFonts w:ascii="Calibri" w:cs="Calibri" w:eastAsia="Calibri" w:hAnsi="Calibri"/>
          <w:b/>
          <w:bCs/>
          <w:color w:val="1F2937"/>
          <w:sz w:val="28"/>
          <w:szCs w:val="28"/>
        </w:rPr>
        <w:t xml:space="preserve">6. SWOT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8B1E3F"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Strengths</w:t>
            </w:r>
          </w:p>
        </w:tc>
        <w:tc>
          <w:tcPr>
            <w:tcW w:type="dxa" w:w="4900"/>
            <w:shd w:fill="8B1E3F"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Weaknesses</w:t>
            </w:r>
          </w:p>
        </w:tc>
      </w:tr>
      <w:tr>
        <w:tc>
          <w:tcPr>
            <w:tcW w:type="dxa" w:w="4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Lịch sử/di sản khảo cổ lâu đời nhất vùng; đã có thương hiệu tập thể và hai bảo tàng gốm; được công nhận làng nghề truyền thống chính thức; vị trí gần Hà Nội thuận lợi tiếp cận khách du lịch.</w:t>
            </w:r>
          </w:p>
        </w:tc>
        <w:tc>
          <w:tcPr>
            <w:tcW w:type="dxa" w:w="4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Số lò sản xuất suy giảm mạnh (750→350); thiếu đổi mới thiết kế sản phẩm; phụ thuộc bán tại chỗ, gần như không có kênh xuất khẩu hay thương mại điện tử; thiếu cấu trúc quản trị tập trung điều phối thương hiệu toàn làng.</w:t>
            </w:r>
          </w:p>
        </w:tc>
      </w:tr>
    </w:tbl>
    <w:p>
      <w:pPr>
        <w:spacing w:after="10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Opportunities</w:t>
            </w:r>
          </w:p>
        </w:tc>
        <w:tc>
          <w:tcPr>
            <w:tcW w:type="dxa" w:w="49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Threats</w:t>
            </w:r>
          </w:p>
        </w:tc>
      </w:tr>
      <w:tr>
        <w:tc>
          <w:tcPr>
            <w:tcW w:type="dxa" w:w="4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Xu hướng du lịch trải nghiệm/giáo dục di sản tăng; chương trình OCOP hỗ trợ trung tâm thiết kế-quảng bá sản phẩm; khả năng liên kết tour với Bát Tràng thay vì chỉ cạnh tranh trực diện.</w:t>
            </w:r>
          </w:p>
        </w:tc>
        <w:tc>
          <w:tcPr>
            <w:tcW w:type="dxa" w:w="49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Bị lu mờ thương hiệu bởi Bát Tràng liền kề; cạnh tranh giá từ gốm công nghiệp; rủi ro mai một lao động kế cận tiếp diễn nếu không có động lực thu nhập đủ hấp dẫn.</w:t>
            </w:r>
          </w:p>
        </w:tc>
      </w:tr>
    </w:tbl>
    <w:p>
      <w:pPr>
        <w:pStyle w:val="Heading1"/>
        <w:pBdr>
          <w:bottom w:val="single" w:color="8B1E3F" w:sz="6" w:space="4"/>
        </w:pBdr>
        <w:spacing w:after="200" w:before="480"/>
      </w:pPr>
      <w:r>
        <w:rPr>
          <w:rFonts w:ascii="Calibri" w:cs="Calibri" w:eastAsia="Calibri" w:hAnsi="Calibri"/>
          <w:b/>
          <w:bCs/>
          <w:color w:val="1F2937"/>
          <w:sz w:val="28"/>
          <w:szCs w:val="28"/>
        </w:rPr>
        <w:t xml:space="preserve">7. Financial &amp; Economic Feasibility</w:t>
      </w:r>
    </w:p>
    <w:p>
      <w:pPr>
        <w:spacing w:after="150" w:line="270"/>
        <w:jc w:val="both"/>
      </w:pPr>
      <w:r>
        <w:rPr>
          <w:rFonts w:ascii="Calibri" w:cs="Calibri" w:eastAsia="Calibri" w:hAnsi="Calibri"/>
          <w:sz w:val="20"/>
          <w:szCs w:val="20"/>
        </w:rPr>
        <w:t xml:space="preserve">Không tồn tại báo cáo tài chính chuẩn hoá cấp làng nghề. Ước tính dưới đây là proxy dựa trên số liệu thứ cấp đã công bố (doanh thu toàn làng ~500 tỷ VNĐ/năm, 2025) và các giả định phân bổ được nêu rõ nguồn gốc — cần xác thực bằng khảo sát trực tiếp hợp tác xã/hộ sản xuất ở Phase 3 của dự án.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800"/>
      </w:tblGrid>
      <w:tr>
        <w:trPr>
          <w:tblHeader/>
        </w:trPr>
        <w:tc>
          <w:tcPr>
            <w:tcW w:type="dxa" w:w="32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Chỉ tiêu proxy</w:t>
            </w:r>
          </w:p>
        </w:tc>
        <w:tc>
          <w:tcPr>
            <w:tcW w:type="dxa" w:w="28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Ước tính</w:t>
            </w:r>
          </w:p>
        </w:tc>
        <w:tc>
          <w:tcPr>
            <w:tcW w:type="dxa" w:w="38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Nguồn / Phương pháp</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Doanh thu toàn làng (ước tính)</w:t>
            </w:r>
          </w:p>
        </w:tc>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~500 tỷ VNĐ/năm (2025)</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Báo Văn hoá (2024-2025) — số liệu công bố cấp làng, chưa có báo cáo kiểm toán</w:t>
            </w:r>
          </w:p>
        </w:tc>
      </w:tr>
      <w:tr>
        <w:tc>
          <w:tcPr>
            <w:tcW w:type="dxa" w:w="3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Doanh thu bình quân/lò gốm</w:t>
            </w:r>
          </w:p>
        </w:tc>
        <w:tc>
          <w:tcPr>
            <w:tcW w:type="dxa" w:w="2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~1,4 tỷ VNĐ/năm (500 tỷ / 350 lò)</w:t>
            </w:r>
          </w:p>
        </w:tc>
        <w:tc>
          <w:tcPr>
            <w:tcW w:type="dxa" w:w="3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Tính toán suy diễn từ số liệu tổng doanh thu và số lò hoạt động — mang tính chỉ báo, không phải số liệu khảo sát trực tiếp</w:t>
            </w:r>
          </w:p>
        </w:tc>
      </w:tr>
      <w:tr>
        <w:tc>
          <w:tcPr>
            <w:tcW w:type="dxa" w:w="3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Xu hướng quy mô sản xuất</w:t>
            </w:r>
          </w:p>
        </w:tc>
        <w:tc>
          <w:tcPr>
            <w:tcW w:type="dxa" w:w="2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Giảm ~53% số lò trong ~30 năm (750 → 350)</w:t>
            </w:r>
          </w:p>
        </w:tc>
        <w:tc>
          <w:tcPr>
            <w:tcW w:type="dxa" w:w="38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Báo chí trong nước (Sở VHTT Hà Nội, 2024-2026)</w:t>
            </w:r>
          </w:p>
        </w:tc>
      </w:tr>
      <w:tr>
        <w:tc>
          <w:tcPr>
            <w:tcW w:type="dxa" w:w="3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Kênh doanh thu tiềm năng chưa khai thác</w:t>
            </w:r>
          </w:p>
        </w:tc>
        <w:tc>
          <w:tcPr>
            <w:tcW w:type="dxa" w:w="2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Vé/phí trải nghiệm bảo tàng, hợp tác tour với đơn vị lữ hành</w:t>
            </w:r>
          </w:p>
        </w:tc>
        <w:tc>
          <w:tcPr>
            <w:tcW w:type="dxa" w:w="38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Ước tính định tính — cần khảo sát lượng khách thực tế để định lượng</w:t>
            </w:r>
          </w:p>
        </w:tc>
      </w:tr>
    </w:tbl>
    <w:p>
      <w:pPr>
        <w:pStyle w:val="Heading1"/>
        <w:pBdr>
          <w:bottom w:val="single" w:color="8B1E3F" w:sz="6" w:space="4"/>
        </w:pBdr>
        <w:spacing w:after="200" w:before="480"/>
      </w:pPr>
      <w:r>
        <w:rPr>
          <w:rFonts w:ascii="Calibri" w:cs="Calibri" w:eastAsia="Calibri" w:hAnsi="Calibri"/>
          <w:b/>
          <w:bCs/>
          <w:color w:val="1F2937"/>
          <w:sz w:val="28"/>
          <w:szCs w:val="28"/>
        </w:rPr>
        <w:t xml:space="preserve">8. ESG Assessment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600"/>
      </w:tblGrid>
      <w:tr>
        <w:trPr>
          <w:tblHeader/>
        </w:trPr>
        <w:tc>
          <w:tcPr>
            <w:tcW w:type="dxa" w:w="12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Trụ cột</w:t>
            </w:r>
          </w:p>
        </w:tc>
        <w:tc>
          <w:tcPr>
            <w:tcW w:type="dxa" w:w="10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Điểm (/5)</w:t>
            </w:r>
          </w:p>
        </w:tc>
        <w:tc>
          <w:tcPr>
            <w:tcW w:type="dxa" w:w="76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Đánh giá</w:t>
            </w:r>
          </w:p>
        </w:tc>
      </w:tr>
      <w:tr>
        <w:tc>
          <w:tcPr>
            <w:tcW w:type="dxa" w:w="1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E</w:t>
            </w:r>
          </w:p>
        </w:tc>
        <w:tc>
          <w:tcPr>
            <w:tcW w:type="dxa" w:w="10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3</w:t>
            </w:r>
          </w:p>
        </w:tc>
        <w:tc>
          <w:tcPr>
            <w:tcW w:type="dxa" w:w="7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Sản xuất gốm phát sinh khí thải lò nung; quy mô nhỏ hơn Bát Tràng nên áp lực môi trường thấp hơn tương đối, nhưng chưa có hệ thống xử lý khí thải tập trung được ghi nhận.</w:t>
            </w:r>
          </w:p>
        </w:tc>
      </w:tr>
      <w:tr>
        <w:tc>
          <w:tcPr>
            <w:tcW w:type="dxa" w:w="12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w:t>
            </w:r>
          </w:p>
        </w:tc>
        <w:tc>
          <w:tcPr>
            <w:tcW w:type="dxa" w:w="10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4</w:t>
            </w:r>
          </w:p>
        </w:tc>
        <w:tc>
          <w:tcPr>
            <w:tcW w:type="dxa" w:w="7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Tạo việc làm tại chỗ cho hàng nghìn lao động; có bảo tàng cộng đồng góp phần giáo dục di sản; rủi ro xã hội chính là mai một lao động kế cận.</w:t>
            </w:r>
          </w:p>
        </w:tc>
      </w:tr>
      <w:tr>
        <w:tc>
          <w:tcPr>
            <w:tcW w:type="dxa" w:w="12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G</w:t>
            </w:r>
          </w:p>
        </w:tc>
        <w:tc>
          <w:tcPr>
            <w:tcW w:type="dxa" w:w="10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3</w:t>
            </w:r>
          </w:p>
        </w:tc>
        <w:tc>
          <w:tcPr>
            <w:tcW w:type="dxa" w:w="7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Có thương hiệu tập thể đăng ký chính thức và công nhận làng nghề truyền thống từ chính quyền, nhưng thiếu một cấu trúc quản trị tập trung (hợp tác xã/hội nghề) đủ mạnh để điều phối chiến lược thương hiệu chung.</w:t>
            </w:r>
          </w:p>
        </w:tc>
      </w:tr>
    </w:tbl>
    <w:p>
      <w:pPr>
        <w:pStyle w:val="Heading1"/>
        <w:pBdr>
          <w:bottom w:val="single" w:color="8B1E3F" w:sz="6" w:space="4"/>
        </w:pBdr>
        <w:spacing w:after="200" w:before="480"/>
      </w:pPr>
      <w:r>
        <w:rPr>
          <w:rFonts w:ascii="Calibri" w:cs="Calibri" w:eastAsia="Calibri" w:hAnsi="Calibri"/>
          <w:b/>
          <w:bCs/>
          <w:color w:val="1F2937"/>
          <w:sz w:val="28"/>
          <w:szCs w:val="28"/>
        </w:rPr>
        <w:t xml:space="preserve">9. Risk Matrix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4400"/>
      </w:tblGrid>
      <w:tr>
        <w:trPr>
          <w:tblHeader/>
        </w:trPr>
        <w:tc>
          <w:tcPr>
            <w:tcW w:type="dxa" w:w="26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Rủi ro</w:t>
            </w:r>
          </w:p>
        </w:tc>
        <w:tc>
          <w:tcPr>
            <w:tcW w:type="dxa" w:w="13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Xác suất</w:t>
            </w:r>
          </w:p>
        </w:tc>
        <w:tc>
          <w:tcPr>
            <w:tcW w:type="dxa" w:w="13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Ảnh hưởng</w:t>
            </w:r>
          </w:p>
        </w:tc>
        <w:tc>
          <w:tcPr>
            <w:tcW w:type="dxa" w:w="4400"/>
            <w:shd w:fill="1F2937" w:val="clear"/>
            <w:tcMar>
              <w:top w:type="dxa" w:w="90"/>
              <w:left w:type="dxa" w:w="120"/>
              <w:bottom w:type="dxa" w:w="90"/>
              <w:right w:type="dxa" w:w="120"/>
            </w:tcMar>
            <w:vAlign w:val="center"/>
          </w:tcPr>
          <w:p>
            <w:pPr>
              <w:jc w:val="left"/>
            </w:pPr>
            <w:r>
              <w:rPr>
                <w:rFonts w:ascii="Calibri" w:cs="Calibri" w:eastAsia="Calibri" w:hAnsi="Calibri"/>
                <w:b/>
                <w:bCs/>
                <w:color w:val="FFFFFF"/>
                <w:sz w:val="18"/>
                <w:szCs w:val="18"/>
              </w:rPr>
              <w:t xml:space="preserve">Biện pháp giảm thiểu</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Bị lu mờ thương hiệu bởi Bát Tràng liền kề</w:t>
            </w:r>
          </w:p>
        </w:tc>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Cao</w:t>
            </w:r>
          </w:p>
        </w:tc>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Cao</w:t>
            </w:r>
          </w:p>
        </w:tc>
        <w:tc>
          <w:tcPr>
            <w:tcW w:type="dxa" w:w="44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Định vị khác biệt theo hướng di sản khảo cổ/giáo dục thay vì cạnh tranh sản lượng gốm gia dụng</w:t>
            </w:r>
          </w:p>
        </w:tc>
      </w:tr>
      <w:tr>
        <w:tc>
          <w:tcPr>
            <w:tcW w:type="dxa" w:w="2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Suy giảm lao động kế cận / số lò hoạt động</w:t>
            </w:r>
          </w:p>
        </w:tc>
        <w:tc>
          <w:tcPr>
            <w:tcW w:type="dxa" w:w="13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Cao</w:t>
            </w:r>
          </w:p>
        </w:tc>
        <w:tc>
          <w:tcPr>
            <w:tcW w:type="dxa" w:w="13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Cao</w:t>
            </w:r>
          </w:p>
        </w:tc>
        <w:tc>
          <w:tcPr>
            <w:tcW w:type="dxa" w:w="44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Hỗ trợ mô hình thu nhập kép (sản xuất + du lịch) để tăng sức hấp dẫn kinh tế của nghề với lao động trẻ</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Phụ thuộc gần như hoàn toàn thị trường nội địa</w:t>
            </w:r>
          </w:p>
        </w:tc>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Trung bình</w:t>
            </w:r>
          </w:p>
        </w:tc>
        <w:tc>
          <w:tcPr>
            <w:tcW w:type="dxa" w:w="13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Trung bình</w:t>
            </w:r>
          </w:p>
        </w:tc>
        <w:tc>
          <w:tcPr>
            <w:tcW w:type="dxa" w:w="4400"/>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Phát triển sản phẩm quà tặng di sản có khả năng thương mại hoá qua kênh du lịch quốc tế/thương mại điện tử</w:t>
            </w:r>
          </w:p>
        </w:tc>
      </w:tr>
      <w:tr>
        <w:tc>
          <w:tcPr>
            <w:tcW w:type="dxa" w:w="26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Thiếu số liệu tài chính minh bạch cấp hộ sản xuất</w:t>
            </w:r>
          </w:p>
        </w:tc>
        <w:tc>
          <w:tcPr>
            <w:tcW w:type="dxa" w:w="13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Cao</w:t>
            </w:r>
          </w:p>
        </w:tc>
        <w:tc>
          <w:tcPr>
            <w:tcW w:type="dxa" w:w="13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Trung bình</w:t>
            </w:r>
          </w:p>
        </w:tc>
        <w:tc>
          <w:tcPr>
            <w:tcW w:type="dxa" w:w="4400"/>
            <w:shd w:fill="F3F4F6" w:val="clear"/>
            <w:tcMar>
              <w:top w:type="dxa" w:w="90"/>
              <w:left w:type="dxa" w:w="120"/>
              <w:bottom w:type="dxa" w:w="90"/>
              <w:right w:type="dxa" w:w="120"/>
            </w:tcMar>
            <w:vAlign w:val="center"/>
          </w:tcPr>
          <w:p>
            <w:pPr>
              <w:jc w:val="left"/>
            </w:pPr>
            <w:r>
              <w:rPr>
                <w:rFonts w:ascii="Calibri" w:cs="Calibri" w:eastAsia="Calibri" w:hAnsi="Calibri"/>
                <w:b w:val="false"/>
                <w:bCs w:val="false"/>
                <w:color w:val="1A1A1A"/>
                <w:sz w:val="18"/>
                <w:szCs w:val="18"/>
              </w:rPr>
              <w:t xml:space="preserve">Khảo sát trực tiếp hợp tác xã/hộ sản xuất tại Phase 3 để thay thế số liệu proxy bằng dữ liệu sơ cấp</w:t>
            </w:r>
          </w:p>
        </w:tc>
      </w:tr>
    </w:tbl>
    <w:p>
      <w:pPr>
        <w:pStyle w:val="Heading1"/>
        <w:pBdr>
          <w:bottom w:val="single" w:color="8B1E3F" w:sz="6" w:space="4"/>
        </w:pBdr>
        <w:spacing w:after="200" w:before="480"/>
      </w:pPr>
      <w:r>
        <w:rPr>
          <w:rFonts w:ascii="Calibri" w:cs="Calibri" w:eastAsia="Calibri" w:hAnsi="Calibri"/>
          <w:b/>
          <w:bCs/>
          <w:color w:val="1F2937"/>
          <w:sz w:val="28"/>
          <w:szCs w:val="28"/>
        </w:rPr>
        <w:t xml:space="preserve">10. Investment Thesis &amp; Recommendation</w:t>
      </w:r>
    </w:p>
    <w:p>
      <w:pPr>
        <w:spacing w:after="150" w:line="270"/>
        <w:jc w:val="both"/>
      </w:pPr>
      <w:r>
        <w:rPr>
          <w:rFonts w:ascii="Calibri" w:cs="Calibri" w:eastAsia="Calibri" w:hAnsi="Calibri"/>
          <w:sz w:val="20"/>
          <w:szCs w:val="20"/>
        </w:rPr>
        <w:t xml:space="preserve">Kim Lan là một trường hợp kinh điển của tài sản di sản bị định giá thấp hơn giá trị thương mại tiềm năng: moat lịch sử/khảo cổ rất mạnh nhưng mô hình kinh doanh hiện tại (gốm gia dụng đại trà) không khai thác được lợi thế này, khiến làng cạnh tranh ở đúng phân khúc mà mình yếu thế nhất so với Bát Tràng liền kề.</w:t>
      </w:r>
    </w:p>
    <w:p>
      <w:pPr>
        <w:spacing w:after="150" w:line="270"/>
        <w:jc w:val="both"/>
      </w:pPr>
      <w:r>
        <w:rPr>
          <w:rFonts w:ascii="Calibri" w:cs="Calibri" w:eastAsia="Calibri" w:hAnsi="Calibri"/>
          <w:sz w:val="20"/>
          <w:szCs w:val="20"/>
        </w:rPr>
        <w:t xml:space="preserve">Luận điểm đầu tư/can thiệp trung tâm: dịch chuyển trọng tâm kinh tế từ "sản lượng gốm gia dụng" sang "trải nghiệm du lịch di sản có thu phí", tận dụng hai bảo tàng gốm hiện có làm hạ tầng nền. Đây là hướng đi tận dụng đúng moat thay vì cạnh tranh trực diện ở phân khúc bất lợi.</w:t>
      </w:r>
    </w:p>
    <w:p>
      <w:pPr>
        <w:spacing w:after="150" w:line="270"/>
        <w:jc w:val="both"/>
      </w:pPr>
      <w:r>
        <w:rPr>
          <w:rFonts w:ascii="Calibri" w:cs="Calibri" w:eastAsia="Calibri" w:hAnsi="Calibri"/>
          <w:sz w:val="20"/>
          <w:szCs w:val="20"/>
        </w:rPr>
        <w:t xml:space="preserve">Khuyến nghị: OVERWEIGHT có điều kiện — hấp dẫn nếu có can thiệp cụ thể vào thương hiệu hoá và hạ tầng du lịch trải nghiệm trong 2-3 năm tới; nếu giữ nguyên mô hình hiện tại, xu hướng suy giảm số lò sản xuất nhiều khả năng tiếp diễn.</w:t>
      </w:r>
    </w:p>
    <w:p>
      <w:pPr>
        <w:pStyle w:val="Heading2"/>
        <w:spacing w:after="130" w:before="300"/>
      </w:pPr>
      <w:r>
        <w:rPr>
          <w:rFonts w:ascii="Calibri" w:cs="Calibri" w:eastAsia="Calibri" w:hAnsi="Calibri"/>
          <w:b/>
          <w:bCs/>
          <w:color w:val="8B1E3F"/>
          <w:sz w:val="23"/>
          <w:szCs w:val="23"/>
        </w:rPr>
        <w:t xml:space="preserve">Catalysts</w:t>
      </w:r>
    </w:p>
    <w:p>
      <w:pPr>
        <w:pStyle w:val="ListParagraph"/>
        <w:numPr>
          <w:ilvl w:val="0"/>
          <w:numId w:val="2"/>
        </w:numPr>
        <w:spacing w:after="90" w:line="260"/>
      </w:pPr>
      <w:r>
        <w:rPr>
          <w:rFonts w:ascii="Calibri" w:cs="Calibri" w:eastAsia="Calibri" w:hAnsi="Calibri"/>
          <w:sz w:val="20"/>
          <w:szCs w:val="20"/>
        </w:rPr>
        <w:t xml:space="preserve">Kết nối chính thức với tour du lịch làng nghề Bát Tràng - Kim Lan như một hành trình bổ trợ thay vì cạnh tranh</w:t>
      </w:r>
    </w:p>
    <w:p>
      <w:pPr>
        <w:pStyle w:val="ListParagraph"/>
        <w:numPr>
          <w:ilvl w:val="0"/>
          <w:numId w:val="2"/>
        </w:numPr>
        <w:spacing w:after="90" w:line="260"/>
      </w:pPr>
      <w:r>
        <w:rPr>
          <w:rFonts w:ascii="Calibri" w:cs="Calibri" w:eastAsia="Calibri" w:hAnsi="Calibri"/>
          <w:sz w:val="20"/>
          <w:szCs w:val="20"/>
        </w:rPr>
        <w:t xml:space="preserve">Đầu tư nâng cấp trải nghiệm tại hai bảo tàng gốm (vé tham quan, hoạt động trải nghiệm làm gốm có thu phí)</w:t>
      </w:r>
    </w:p>
    <w:p>
      <w:pPr>
        <w:pStyle w:val="ListParagraph"/>
        <w:numPr>
          <w:ilvl w:val="0"/>
          <w:numId w:val="2"/>
        </w:numPr>
        <w:spacing w:after="90" w:line="260"/>
      </w:pPr>
      <w:r>
        <w:rPr>
          <w:rFonts w:ascii="Calibri" w:cs="Calibri" w:eastAsia="Calibri" w:hAnsi="Calibri"/>
          <w:sz w:val="20"/>
          <w:szCs w:val="20"/>
        </w:rPr>
        <w:t xml:space="preserve">Khai thác chương trình OCOP để chuẩn hoá bao bì, câu chuyện thương hiệu cho dòng sản phẩm quà tặng di sản</w:t>
      </w:r>
    </w:p>
    <w:p>
      <w:pPr>
        <w:pStyle w:val="Heading2"/>
        <w:spacing w:after="130" w:before="300"/>
      </w:pPr>
      <w:r>
        <w:rPr>
          <w:rFonts w:ascii="Calibri" w:cs="Calibri" w:eastAsia="Calibri" w:hAnsi="Calibri"/>
          <w:b/>
          <w:bCs/>
          <w:color w:val="8B1E3F"/>
          <w:sz w:val="23"/>
          <w:szCs w:val="23"/>
        </w:rPr>
        <w:t xml:space="preserve">Khuyến nghị phân bổ nguồn lực / can thiệp ưu tiên</w:t>
      </w:r>
    </w:p>
    <w:p>
      <w:pPr>
        <w:pStyle w:val="ListParagraph"/>
        <w:numPr>
          <w:ilvl w:val="0"/>
          <w:numId w:val="2"/>
        </w:numPr>
        <w:spacing w:after="90" w:line="260"/>
      </w:pPr>
      <w:r>
        <w:rPr>
          <w:rFonts w:ascii="Calibri" w:cs="Calibri" w:eastAsia="Calibri" w:hAnsi="Calibri"/>
          <w:sz w:val="20"/>
          <w:szCs w:val="20"/>
        </w:rPr>
        <w:t xml:space="preserve">Ưu tiên khảo sát định lượng lượng khách du lịch hiện tại và mức chi tiêu bình quân — dữ liệu còn thiếu, là điều kiện tiên quyết để định lượng chính xác SOM du lịch</w:t>
      </w:r>
    </w:p>
    <w:p>
      <w:pPr>
        <w:pStyle w:val="ListParagraph"/>
        <w:numPr>
          <w:ilvl w:val="0"/>
          <w:numId w:val="2"/>
        </w:numPr>
        <w:spacing w:after="90" w:line="260"/>
      </w:pPr>
      <w:r>
        <w:rPr>
          <w:rFonts w:ascii="Calibri" w:cs="Calibri" w:eastAsia="Calibri" w:hAnsi="Calibri"/>
          <w:sz w:val="20"/>
          <w:szCs w:val="20"/>
        </w:rPr>
        <w:t xml:space="preserve">Đánh giá khả thi mô hình hợp tác xã/hội nghề tập trung điều phối thương hiệu chung, thay vì để mỗi hộ tự vận hành riêng lẻ</w:t>
      </w:r>
    </w:p>
    <w:p>
      <w:pPr>
        <w:pStyle w:val="ListParagraph"/>
        <w:numPr>
          <w:ilvl w:val="0"/>
          <w:numId w:val="2"/>
        </w:numPr>
        <w:spacing w:after="90" w:line="260"/>
      </w:pPr>
      <w:r>
        <w:rPr>
          <w:rFonts w:ascii="Calibri" w:cs="Calibri" w:eastAsia="Calibri" w:hAnsi="Calibri"/>
          <w:sz w:val="20"/>
          <w:szCs w:val="20"/>
        </w:rPr>
        <w:t xml:space="preserve">Xây dựng dòng sản phẩm quà tặng di sản giá trị cao hơn, tách biệt khỏi phân khúc gốm gia dụng đại trà đang chịu áp lực cạnh tranh trực tiếp từ Bát Tràng</w:t>
      </w:r>
    </w:p>
    <w:p>
      <w:pPr>
        <w:pStyle w:val="Heading1"/>
        <w:pBdr>
          <w:bottom w:val="single" w:color="8B1E3F" w:sz="6" w:space="4"/>
        </w:pBdr>
        <w:spacing w:after="200" w:before="480"/>
      </w:pPr>
      <w:r>
        <w:rPr>
          <w:rFonts w:ascii="Calibri" w:cs="Calibri" w:eastAsia="Calibri" w:hAnsi="Calibri"/>
          <w:b/>
          <w:bCs/>
          <w:color w:val="1F2937"/>
          <w:sz w:val="28"/>
          <w:szCs w:val="28"/>
        </w:rPr>
        <w:t xml:space="preserve">11. Appendix</w:t>
      </w:r>
    </w:p>
    <w:p>
      <w:pPr>
        <w:pStyle w:val="Heading2"/>
        <w:spacing w:after="130" w:before="300"/>
      </w:pPr>
      <w:r>
        <w:rPr>
          <w:rFonts w:ascii="Calibri" w:cs="Calibri" w:eastAsia="Calibri" w:hAnsi="Calibri"/>
          <w:b/>
          <w:bCs/>
          <w:color w:val="8B1E3F"/>
          <w:sz w:val="23"/>
          <w:szCs w:val="23"/>
        </w:rPr>
        <w:t xml:space="preserve">Nguồn dữ liệu</w:t>
      </w:r>
    </w:p>
    <w:p>
      <w:pPr>
        <w:pStyle w:val="ListParagraph"/>
        <w:numPr>
          <w:ilvl w:val="0"/>
          <w:numId w:val="2"/>
        </w:numPr>
        <w:spacing w:after="90" w:line="260"/>
      </w:pPr>
      <w:r>
        <w:rPr>
          <w:rFonts w:ascii="Calibri" w:cs="Calibri" w:eastAsia="Calibri" w:hAnsi="Calibri"/>
          <w:sz w:val="20"/>
          <w:szCs w:val="20"/>
        </w:rPr>
        <w:t xml:space="preserve">VnExpress Du lịch — "Kim Lan - làng gốm nghìn năm tuổi bên sông Hồng"</w:t>
      </w:r>
    </w:p>
    <w:p>
      <w:pPr>
        <w:pStyle w:val="ListParagraph"/>
        <w:numPr>
          <w:ilvl w:val="0"/>
          <w:numId w:val="2"/>
        </w:numPr>
        <w:spacing w:after="90" w:line="260"/>
      </w:pPr>
      <w:r>
        <w:rPr>
          <w:rFonts w:ascii="Calibri" w:cs="Calibri" w:eastAsia="Calibri" w:hAnsi="Calibri"/>
          <w:sz w:val="20"/>
          <w:szCs w:val="20"/>
        </w:rPr>
        <w:t xml:space="preserve">Sở Văn hoá Thể thao Hà Nội — "Nét đẹp gốm Kim Lan"</w:t>
      </w:r>
    </w:p>
    <w:p>
      <w:pPr>
        <w:pStyle w:val="ListParagraph"/>
        <w:numPr>
          <w:ilvl w:val="0"/>
          <w:numId w:val="2"/>
        </w:numPr>
        <w:spacing w:after="90" w:line="260"/>
      </w:pPr>
      <w:r>
        <w:rPr>
          <w:rFonts w:ascii="Calibri" w:cs="Calibri" w:eastAsia="Calibri" w:hAnsi="Calibri"/>
          <w:sz w:val="20"/>
          <w:szCs w:val="20"/>
        </w:rPr>
        <w:t xml:space="preserve">Báo Văn hoá — "Hồi sinh làng gốm cổ bên bờ sông Hồng"</w:t>
      </w:r>
    </w:p>
    <w:p>
      <w:pPr>
        <w:pStyle w:val="ListParagraph"/>
        <w:numPr>
          <w:ilvl w:val="0"/>
          <w:numId w:val="2"/>
        </w:numPr>
        <w:spacing w:after="90" w:line="260"/>
      </w:pPr>
      <w:r>
        <w:rPr>
          <w:rFonts w:ascii="Calibri" w:cs="Calibri" w:eastAsia="Calibri" w:hAnsi="Calibri"/>
          <w:sz w:val="20"/>
          <w:szCs w:val="20"/>
        </w:rPr>
        <w:t xml:space="preserve">The Saigon Times — "Làng gốm ngàn năm Kim Lan tạo sinh kế từ du lịch trải nghiệm"</w:t>
      </w:r>
    </w:p>
    <w:p>
      <w:pPr>
        <w:pStyle w:val="ListParagraph"/>
        <w:numPr>
          <w:ilvl w:val="0"/>
          <w:numId w:val="2"/>
        </w:numPr>
        <w:spacing w:after="90" w:line="260"/>
      </w:pPr>
      <w:r>
        <w:rPr>
          <w:rFonts w:ascii="Calibri" w:cs="Calibri" w:eastAsia="Calibri" w:hAnsi="Calibri"/>
          <w:sz w:val="20"/>
          <w:szCs w:val="20"/>
        </w:rPr>
        <w:t xml:space="preserve">VOV5 — "Bảo tàng gốm Kim Lan - Bảo tàng khảo cổ học cộng đồng đầu tiên"</w:t>
      </w:r>
    </w:p>
    <w:p>
      <w:pPr>
        <w:pStyle w:val="ListParagraph"/>
        <w:numPr>
          <w:ilvl w:val="0"/>
          <w:numId w:val="2"/>
        </w:numPr>
        <w:spacing w:after="90" w:line="260"/>
      </w:pPr>
      <w:r>
        <w:rPr>
          <w:rFonts w:ascii="Calibri" w:cs="Calibri" w:eastAsia="Calibri" w:hAnsi="Calibri"/>
          <w:sz w:val="20"/>
          <w:szCs w:val="20"/>
        </w:rPr>
        <w:t xml:space="preserve">Đại biểu Nhân dân — "Làng gốm cổ Kim Lan hồi sinh kỳ tích"</w:t>
      </w:r>
    </w:p>
    <w:p>
      <w:pPr>
        <w:pStyle w:val="ListParagraph"/>
        <w:numPr>
          <w:ilvl w:val="0"/>
          <w:numId w:val="2"/>
        </w:numPr>
        <w:spacing w:after="90" w:line="260"/>
      </w:pPr>
      <w:r>
        <w:rPr>
          <w:rFonts w:ascii="Calibri" w:cs="Calibri" w:eastAsia="Calibri" w:hAnsi="Calibri"/>
          <w:sz w:val="20"/>
          <w:szCs w:val="20"/>
        </w:rPr>
        <w:t xml:space="preserve">Quan sát thực địa cá nhân của tác giả (chuyến thăm làng Kim Lan)</w:t>
      </w:r>
    </w:p>
    <w:p>
      <w:pPr>
        <w:pStyle w:val="Heading2"/>
        <w:spacing w:after="130" w:before="300"/>
      </w:pPr>
      <w:r>
        <w:rPr>
          <w:rFonts w:ascii="Calibri" w:cs="Calibri" w:eastAsia="Calibri" w:hAnsi="Calibri"/>
          <w:b/>
          <w:bCs/>
          <w:color w:val="8B1E3F"/>
          <w:sz w:val="23"/>
          <w:szCs w:val="23"/>
        </w:rPr>
        <w:t xml:space="preserve">Giới hạn nghiên cứu</w:t>
      </w:r>
    </w:p>
    <w:p>
      <w:pPr>
        <w:pStyle w:val="ListParagraph"/>
        <w:numPr>
          <w:ilvl w:val="0"/>
          <w:numId w:val="2"/>
        </w:numPr>
        <w:spacing w:after="90" w:line="260"/>
      </w:pPr>
      <w:r>
        <w:rPr>
          <w:rFonts w:ascii="Calibri" w:cs="Calibri" w:eastAsia="Calibri" w:hAnsi="Calibri"/>
          <w:sz w:val="20"/>
          <w:szCs w:val="20"/>
        </w:rPr>
        <w:t xml:space="preserve">Không có báo cáo tài chính chuẩn hoá cấp làng/hộ sản xuất — toàn bộ số liệu doanh thu là proxy từ nguồn thứ cấp, chưa qua kiểm toán hay khảo sát trực tiếp.</w:t>
      </w:r>
    </w:p>
    <w:p>
      <w:pPr>
        <w:pStyle w:val="ListParagraph"/>
        <w:numPr>
          <w:ilvl w:val="0"/>
          <w:numId w:val="2"/>
        </w:numPr>
        <w:spacing w:after="90" w:line="260"/>
      </w:pPr>
      <w:r>
        <w:rPr>
          <w:rFonts w:ascii="Calibri" w:cs="Calibri" w:eastAsia="Calibri" w:hAnsi="Calibri"/>
          <w:sz w:val="20"/>
          <w:szCs w:val="20"/>
        </w:rPr>
        <w:t xml:space="preserve">Chưa có số liệu định lượng về lượng khách du lịch và mức chi tiêu bình quân — ước tính SOM du lịch mang tính định tính, cần khảo sát bổ sung.</w:t>
      </w:r>
    </w:p>
    <w:p>
      <w:pPr>
        <w:pStyle w:val="ListParagraph"/>
        <w:numPr>
          <w:ilvl w:val="0"/>
          <w:numId w:val="2"/>
        </w:numPr>
        <w:spacing w:after="90" w:line="260"/>
      </w:pPr>
      <w:r>
        <w:rPr>
          <w:rFonts w:ascii="Calibri" w:cs="Calibri" w:eastAsia="Calibri" w:hAnsi="Calibri"/>
          <w:sz w:val="20"/>
          <w:szCs w:val="20"/>
        </w:rPr>
        <w:t xml:space="preserve">Đánh giá dựa trên một lần quan sát thực địa của tác giả kết hợp nguồn thứ cấp — chưa thực hiện phỏng vấn có cấu trúc với hộ sản xuất/hợp tác xã theo đúng phương pháp luận Phase 3 của dự án.</w:t>
      </w:r>
    </w:p>
    <w:p>
      <w:pPr>
        <w:pBdr>
          <w:top w:val="single" w:color="8B1E3F" w:sz="6" w:space="8"/>
        </w:pBdr>
        <w:spacing w:after="200" w:before="200"/>
      </w:pPr>
    </w:p>
    <w:p>
      <w:r>
        <w:rPr>
          <w:rFonts w:ascii="Calibri" w:cs="Calibri" w:eastAsia="Calibri" w:hAnsi="Calibri"/>
          <w:i/>
          <w:iCs/>
          <w:color w:val="6B7280"/>
          <w:sz w:val="17"/>
          <w:szCs w:val="17"/>
        </w:rPr>
        <w:t xml:space="preserve">Báo cáo này dùng chung cấu trúc phân tích với Investment Analysis Report còn lại trong bộ dự án để đảm bảo khả năng so sánh trực tiếp, theo nguyên tắc coverage initiation của equity research.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2026-07-21T06:11:39.984Z</dcterms:created>
  <dcterms:modified xsi:type="dcterms:W3CDTF">2026-07-21T06:11:39.984Z</dcterms:modified>
</cp:coreProperties>
</file>

<file path=docProps/custom.xml><?xml version="1.0" encoding="utf-8"?>
<Properties xmlns="http://schemas.openxmlformats.org/officeDocument/2006/custom-properties" xmlns:vt="http://schemas.openxmlformats.org/officeDocument/2006/docPropsVTypes"/>
</file>