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AEC" w:rsidRDefault="00CE1B5F">
      <w:pPr>
        <w:spacing w:after="300" w:line="276" w:lineRule="auto"/>
        <w:jc w:val="center"/>
      </w:pPr>
      <w:r>
        <w:rPr>
          <w:rFonts w:ascii="Times New Roman" w:eastAsia="Times New Roman" w:hAnsi="Times New Roman" w:cs="Times New Roman"/>
          <w:b/>
          <w:sz w:val="26"/>
        </w:rPr>
        <w:t>Chi tiết thủ tục hành chính</w:t>
      </w:r>
    </w:p>
    <w:p w:rsidR="00564AEC" w:rsidRDefault="00CE1B5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1.000771</w:t>
      </w:r>
    </w:p>
    <w:p w:rsidR="00564AEC" w:rsidRDefault="00CE1B5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564AEC" w:rsidRDefault="00CE1B5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tạm trú cho người đã được cấp giấy miễn thị thực tại Cục Quản lý xuất nhập cảnh Bộ Công an</w:t>
      </w:r>
    </w:p>
    <w:p w:rsidR="00564AEC" w:rsidRDefault="00CE1B5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64AEC" w:rsidRDefault="00CE1B5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64AEC" w:rsidRDefault="00CE1B5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564AEC" w:rsidRDefault="00CE1B5F">
      <w:pPr>
        <w:spacing w:after="0" w:line="276" w:lineRule="auto"/>
        <w:jc w:val="both"/>
      </w:pPr>
      <w:r>
        <w:rPr>
          <w:rFonts w:ascii="Times New Roman" w:eastAsia="Times New Roman" w:hAnsi="Times New Roman" w:cs="Times New Roman"/>
          <w:b/>
          <w:sz w:val="26"/>
        </w:rPr>
        <w:t xml:space="preserve">Trình tự thực hiện: </w:t>
      </w:r>
    </w:p>
    <w:p w:rsidR="00564AEC" w:rsidRDefault="00564AEC">
      <w:pPr>
        <w:shd w:val="clear" w:color="auto" w:fill="F2F6F9"/>
        <w:spacing w:before="120" w:after="0" w:line="276" w:lineRule="auto"/>
        <w:jc w:val="both"/>
      </w:pPr>
    </w:p>
    <w:p w:rsidR="00564AEC" w:rsidRDefault="00CE1B5F">
      <w:pPr>
        <w:spacing w:after="0" w:line="276" w:lineRule="auto"/>
        <w:jc w:val="both"/>
      </w:pPr>
      <w:r>
        <w:rPr>
          <w:rFonts w:ascii="Times New Roman" w:eastAsia="Times New Roman" w:hAnsi="Times New Roman" w:cs="Times New Roman"/>
          <w:sz w:val="26"/>
        </w:rPr>
        <w:t>Bước 1: Chuẩn bị hồ sơ theo quy định của pháp luật.</w:t>
      </w:r>
    </w:p>
    <w:p w:rsidR="00564AEC" w:rsidRDefault="00CE1B5F">
      <w:pPr>
        <w:spacing w:after="0" w:line="276" w:lineRule="auto"/>
        <w:jc w:val="both"/>
      </w:pPr>
      <w:r>
        <w:rPr>
          <w:rFonts w:ascii="Times New Roman" w:eastAsia="Times New Roman" w:hAnsi="Times New Roman" w:cs="Times New Roman"/>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w:t>
      </w:r>
      <w:r>
        <w:rPr>
          <w:rFonts w:ascii="Times New Roman" w:eastAsia="Times New Roman" w:hAnsi="Times New Roman" w:cs="Times New Roman"/>
          <w:sz w:val="26"/>
        </w:rPr>
        <w:t>g an (nếu có).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gia hạn tạm trú hoặc thông báo trên Cổng dịch vụ công quốc gia hoặc Cổng dịch vụ công Bộ Công an để người đề nghị gia hạn tạm trú thanh toán trực tuyến và nhận biên lai điện tử. + Nếu hồ sơ thiếu hoặc không hợp</w:t>
      </w:r>
      <w:r>
        <w:rPr>
          <w:rFonts w:ascii="Times New Roman" w:eastAsia="Times New Roman" w:hAnsi="Times New Roman" w:cs="Times New Roman"/>
          <w:sz w:val="26"/>
        </w:rPr>
        <w:t xml:space="preserve">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gia hạn tạm trú có thể đề nghị nhận kết quả qua dịch vụ bưu chính và phải trả phí dịch vụ chuyển phát. * Thời gian t</w:t>
      </w:r>
      <w:r>
        <w:rPr>
          <w:rFonts w:ascii="Times New Roman" w:eastAsia="Times New Roman" w:hAnsi="Times New Roman" w:cs="Times New Roman"/>
          <w:sz w:val="26"/>
        </w:rPr>
        <w:t>iếp nhận hồ sơ: Từ thứ 2 đến sáng thứ 7 hàng tuần (trừ ngày Tết, ngày lễ).</w:t>
      </w:r>
    </w:p>
    <w:p w:rsidR="00564AEC" w:rsidRDefault="00CE1B5F">
      <w:pPr>
        <w:spacing w:after="0" w:line="276" w:lineRule="auto"/>
        <w:jc w:val="both"/>
      </w:pPr>
      <w:r>
        <w:rPr>
          <w:rFonts w:ascii="Times New Roman" w:eastAsia="Times New Roman" w:hAnsi="Times New Roman" w:cs="Times New Roman"/>
          <w:sz w:val="26"/>
        </w:rPr>
        <w:t xml:space="preserve">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gia hạn tạm trú thì trả lời bằng văn bản hoặc thông báo trên Cổng dịch vụ công quốc gia hoặc Cổng dịch vụ công Bộ Công an và nêu rõ lý do. + Thời gian trả kết quả: Từ thứ </w:t>
      </w:r>
      <w:r>
        <w:rPr>
          <w:rFonts w:ascii="Times New Roman" w:eastAsia="Times New Roman" w:hAnsi="Times New Roman" w:cs="Times New Roman"/>
          <w:sz w:val="26"/>
        </w:rPr>
        <w:t>2 đến thứ 6 hàng tuần (trừ ngày Tết, ngày lễ).</w:t>
      </w:r>
    </w:p>
    <w:p w:rsidR="00564AEC" w:rsidRDefault="00CE1B5F">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8"/>
        <w:gridCol w:w="962"/>
        <w:gridCol w:w="1271"/>
        <w:gridCol w:w="6260"/>
      </w:tblGrid>
      <w:tr w:rsidR="00564AEC">
        <w:tblPrEx>
          <w:tblCellMar>
            <w:top w:w="0" w:type="dxa"/>
            <w:bottom w:w="0" w:type="dxa"/>
          </w:tblCellMar>
        </w:tblPrEx>
        <w:tc>
          <w:tcPr>
            <w:tcW w:w="15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Hình thức nộp</w:t>
            </w:r>
          </w:p>
        </w:tc>
        <w:tc>
          <w:tcPr>
            <w:tcW w:w="2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Phí, lệ phí</w:t>
            </w:r>
          </w:p>
        </w:tc>
        <w:tc>
          <w:tcPr>
            <w:tcW w:w="3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Mô tả</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Trực tiếp</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5 Ngày làm việc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Lệ phí : 10 USD (/lần)</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nộp hồ sơ trực tiếp tại trụ sở Cục Quản lý xuất nhập cảnh. không quá 05 ngày làm việc kể từ ngày nhận đủ hồ sơ.</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Trực tuyến</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5 Ngày làm việc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Lệ phí : 10 USD (/lần)</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ngày nhận đủ hồ sơ.</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Dịch vụ bưu chính</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5 Ngày làm việc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Lệ phí : 10 USD (/lần)</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rsidR="00564AEC" w:rsidRDefault="00CE1B5F">
      <w:pPr>
        <w:spacing w:before="240" w:after="0" w:line="276" w:lineRule="auto"/>
        <w:jc w:val="both"/>
      </w:pPr>
      <w:r>
        <w:rPr>
          <w:rFonts w:ascii="Times New Roman" w:eastAsia="Times New Roman" w:hAnsi="Times New Roman" w:cs="Times New Roman"/>
          <w:b/>
          <w:sz w:val="26"/>
        </w:rPr>
        <w:t xml:space="preserve">Thành phần hồ sơ: </w:t>
      </w:r>
    </w:p>
    <w:p w:rsidR="00564AEC" w:rsidRDefault="00CE1B5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9"/>
        <w:gridCol w:w="1170"/>
        <w:gridCol w:w="932"/>
      </w:tblGrid>
      <w:tr w:rsidR="00564AEC">
        <w:tblPrEx>
          <w:tblCellMar>
            <w:top w:w="0" w:type="dxa"/>
            <w:bottom w:w="0" w:type="dxa"/>
          </w:tblCellMar>
        </w:tblPrEx>
        <w:tc>
          <w:tcPr>
            <w:tcW w:w="6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Tên giấy tờ</w:t>
            </w:r>
          </w:p>
        </w:tc>
        <w:tc>
          <w:tcPr>
            <w:tcW w:w="2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Mẫu đơn, tờ khai</w:t>
            </w:r>
          </w:p>
        </w:tc>
        <w:tc>
          <w:tcPr>
            <w:tcW w:w="2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Số lượng</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Hộ chiếu hoặc giấy tờ có giá trị đi lại quốc tế hoặc giấy tờ cho phép thường trú do cơ quan có thẩm quyền của nước ngoài cấp cho người Việt Nam định cư ở nước ngoài.</w:t>
            </w:r>
          </w:p>
        </w:tc>
        <w:tc>
          <w:tcPr>
            <w:tcW w:w="0" w:type="auto"/>
          </w:tcPr>
          <w:p w:rsidR="00564AEC" w:rsidRDefault="00564AEC"/>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Giấy miễn thị thực.</w:t>
            </w:r>
          </w:p>
        </w:tc>
        <w:tc>
          <w:tcPr>
            <w:tcW w:w="0" w:type="auto"/>
          </w:tcPr>
          <w:p w:rsidR="00564AEC" w:rsidRDefault="00564AEC"/>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 xml:space="preserve">Trường hợp nộp hồ sơ trực tuyến thì hộ chiếu hoặc giấy tờ có giá trị </w:t>
            </w:r>
            <w:r>
              <w:rPr>
                <w:rFonts w:ascii="Times New Roman" w:eastAsia="Times New Roman" w:hAnsi="Times New Roman" w:cs="Times New Roman"/>
                <w:sz w:val="26"/>
              </w:rPr>
              <w:lastRenderedPageBreak/>
              <w:t>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rsidR="00564AEC" w:rsidRDefault="00564AEC"/>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0</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Tờ khai đề nghị cấp thị thực, gia hạn tạm trú (mẫu NA5) ban hành kèm theo Thông tư số 22/2023/TT-BCA ngày 30/6/2023 của Bộ Công an.</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NA5.doc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64AEC" w:rsidRDefault="00CE1B5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564AEC" w:rsidRDefault="00CE1B5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564AEC" w:rsidRDefault="00CE1B5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564AEC" w:rsidRDefault="00CE1B5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64AEC" w:rsidRDefault="00CE1B5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64AEC" w:rsidRDefault="00CE1B5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64AEC" w:rsidRDefault="00CE1B5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Gia hạn tạm trú (không quá 06 tháng)</w:t>
      </w:r>
    </w:p>
    <w:p w:rsidR="00564AEC" w:rsidRDefault="00CE1B5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564AEC">
        <w:tblPrEx>
          <w:tblCellMar>
            <w:top w:w="0" w:type="dxa"/>
            <w:bottom w:w="0" w:type="dxa"/>
          </w:tblCellMar>
        </w:tblPrEx>
        <w:tc>
          <w:tcPr>
            <w:tcW w:w="2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Số ký hiệu</w:t>
            </w:r>
          </w:p>
        </w:tc>
        <w:tc>
          <w:tcPr>
            <w:tcW w:w="35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Trích yếu</w:t>
            </w:r>
          </w:p>
        </w:tc>
        <w:tc>
          <w:tcPr>
            <w:tcW w:w="15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Ngày ban hành</w:t>
            </w:r>
          </w:p>
        </w:tc>
        <w:tc>
          <w:tcPr>
            <w:tcW w:w="3000" w:type="dxa"/>
          </w:tcPr>
          <w:p w:rsidR="00564AEC" w:rsidRDefault="00564AEC"/>
          <w:p w:rsidR="00564AEC" w:rsidRDefault="00CE1B5F">
            <w:pPr>
              <w:spacing w:after="0" w:line="276" w:lineRule="auto"/>
              <w:jc w:val="center"/>
            </w:pPr>
            <w:r>
              <w:rPr>
                <w:rFonts w:ascii="Times New Roman" w:eastAsia="Times New Roman" w:hAnsi="Times New Roman" w:cs="Times New Roman"/>
                <w:b/>
                <w:sz w:val="26"/>
              </w:rPr>
              <w:t>Cơ quan ban hành</w:t>
            </w:r>
          </w:p>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47/2014/QH13</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Luật 47/2014/QH13</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17-06-2014</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51/2019/QH14</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Luật 51/2019/QH14</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25-11-2019</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82/2015/NĐ-CP</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Nghị định 82/2015/NĐ-CP</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24-09-2015</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04/2015/TT-BCA</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Thông tư 04/2015/TT-BCA</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06-01-2015</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25/2021/TT-BTC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Thông tư 25/2021/TT-BTC</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07-04-2021</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23/2023/QH15</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24-06-2023</w:t>
            </w:r>
          </w:p>
        </w:tc>
        <w:tc>
          <w:tcPr>
            <w:tcW w:w="0" w:type="auto"/>
          </w:tcPr>
          <w:p w:rsidR="00564AEC" w:rsidRDefault="00564AEC"/>
        </w:tc>
      </w:tr>
      <w:tr w:rsidR="00564AEC">
        <w:tblPrEx>
          <w:tblCellMar>
            <w:top w:w="0" w:type="dxa"/>
            <w:bottom w:w="0" w:type="dxa"/>
          </w:tblCellMar>
        </w:tblPrEx>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22/2023/TT-BCA</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Thông tư số 22/2023/TT-BCA</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30-06-2023</w:t>
            </w:r>
          </w:p>
        </w:tc>
        <w:tc>
          <w:tcPr>
            <w:tcW w:w="0" w:type="auto"/>
          </w:tcPr>
          <w:p w:rsidR="00564AEC" w:rsidRDefault="00564AEC"/>
          <w:p w:rsidR="00564AEC" w:rsidRDefault="00CE1B5F">
            <w:pPr>
              <w:spacing w:after="0" w:line="276" w:lineRule="auto"/>
            </w:pPr>
            <w:r>
              <w:rPr>
                <w:rFonts w:ascii="Times New Roman" w:eastAsia="Times New Roman" w:hAnsi="Times New Roman" w:cs="Times New Roman"/>
                <w:sz w:val="26"/>
              </w:rPr>
              <w:t>Bộ Công an</w:t>
            </w:r>
          </w:p>
        </w:tc>
      </w:tr>
    </w:tbl>
    <w:p w:rsidR="00564AEC" w:rsidRDefault="00CE1B5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hộ chiếu hoặc giấy tờ có giá trị đi lại quốc tế còn giá trị ít nhất 01 năm. + Người nhập cảnh bằng giấy miễn thị thực được cơ quan, tổ chức, cá nhân tại Việt Nam bảo lãnh và có lý do chính đáng. + Không thuộc các trường hợp chưa cho nhập cảnh và tạm hoãn xuất cảnh theo quy định tại Điều 21 và Điều 28 của Luật Nhập cảnh, xuất cảnh, quá cảnh, cư trú của người nước ngoài tại Việt Nam.</w:t>
      </w:r>
    </w:p>
    <w:p w:rsidR="00564AEC" w:rsidRDefault="00CE1B5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64AEC" w:rsidRDefault="00CE1B5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https://thutuc.dichvucong.gov.vn/p/home/dvc-tthc-thu-tuc-hanh-chinh-chi-tiet.html?ma_thu_tuc=1122</w:t>
      </w:r>
    </w:p>
    <w:sectPr w:rsidR="00564AE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4AEC"/>
    <w:rsid w:val="003E5E42"/>
    <w:rsid w:val="00564AEC"/>
    <w:rsid w:val="00CE1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00C273-2453-4ADC-9E0B-7BA57EAE4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2025-11-24T08:20:00Z</dcterms:created>
  <dcterms:modified xsi:type="dcterms:W3CDTF">2025-11-24T08:20:00Z</dcterms:modified>
</cp:coreProperties>
</file>