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42D7" w:rsidRDefault="00B838E1">
      <w:pPr>
        <w:spacing w:after="300" w:line="276" w:lineRule="auto"/>
        <w:jc w:val="center"/>
      </w:pPr>
      <w:r>
        <w:rPr>
          <w:rFonts w:ascii="Times New Roman" w:eastAsia="Times New Roman" w:hAnsi="Times New Roman" w:cs="Times New Roman"/>
          <w:b/>
          <w:sz w:val="26"/>
        </w:rPr>
        <w:t>Chi tiết thủ tục hành chính</w:t>
      </w:r>
    </w:p>
    <w:p w:rsidR="00FD42D7" w:rsidRDefault="00B838E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1.001146</w:t>
      </w:r>
    </w:p>
    <w:p w:rsidR="00FD42D7" w:rsidRDefault="00B838E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FD42D7" w:rsidRDefault="00B838E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tạm trú cho người nước ngoài tại Việt Nam (thực hiện tại cấp tỉnh)</w:t>
      </w:r>
    </w:p>
    <w:p w:rsidR="00FD42D7" w:rsidRDefault="00B838E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FD42D7" w:rsidRDefault="00B838E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D42D7" w:rsidRDefault="00B838E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FD42D7" w:rsidRDefault="00B838E1">
      <w:pPr>
        <w:spacing w:after="0" w:line="276" w:lineRule="auto"/>
        <w:jc w:val="both"/>
      </w:pPr>
      <w:r>
        <w:rPr>
          <w:rFonts w:ascii="Times New Roman" w:eastAsia="Times New Roman" w:hAnsi="Times New Roman" w:cs="Times New Roman"/>
          <w:b/>
          <w:sz w:val="26"/>
        </w:rPr>
        <w:t xml:space="preserve">Trình tự thực hiện: </w:t>
      </w:r>
    </w:p>
    <w:p w:rsidR="00FD42D7" w:rsidRDefault="00FD42D7">
      <w:pPr>
        <w:shd w:val="clear" w:color="auto" w:fill="F2F6F9"/>
        <w:spacing w:before="120" w:after="0" w:line="276" w:lineRule="auto"/>
        <w:jc w:val="both"/>
      </w:pPr>
    </w:p>
    <w:p w:rsidR="00FD42D7" w:rsidRDefault="00B838E1">
      <w:pPr>
        <w:spacing w:after="0" w:line="276" w:lineRule="auto"/>
        <w:jc w:val="both"/>
      </w:pPr>
      <w:r>
        <w:rPr>
          <w:rFonts w:ascii="Times New Roman" w:eastAsia="Times New Roman" w:hAnsi="Times New Roman" w:cs="Times New Roman"/>
          <w:sz w:val="26"/>
        </w:rPr>
        <w:t>Bước 1: Chuẩn bị hồ sơ theo quy định của pháp luật.</w:t>
      </w:r>
    </w:p>
    <w:p w:rsidR="00FD42D7" w:rsidRDefault="00B838E1">
      <w:pPr>
        <w:spacing w:after="0" w:line="276" w:lineRule="auto"/>
        <w:jc w:val="both"/>
      </w:pPr>
      <w:r>
        <w:rPr>
          <w:rFonts w:ascii="Times New Roman" w:eastAsia="Times New Roman" w:hAnsi="Times New Roman" w:cs="Times New Roman"/>
          <w:sz w:val="26"/>
        </w:rPr>
        <w:t>Bước 2:  *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Công an cấp tỉnh trên Cổng dịch vụ công trực tuyến (nếu có). * Cán bộ tiếp nhận hồ sơ kiểm tra tính pháp lý và nội dung hồ sơ:  + Trường hợp hồ sơ đã đầy đủ, hợp lệ thì cấp giấy hẹ</w:t>
      </w:r>
      <w:r>
        <w:rPr>
          <w:rFonts w:ascii="Times New Roman" w:eastAsia="Times New Roman" w:hAnsi="Times New Roman" w:cs="Times New Roman"/>
          <w:sz w:val="26"/>
        </w:rPr>
        <w:t>n trả kết quả cho người đề nghị gia hạn tạm trú; yêu cầu nộp phí cho cán bộ thu phí, cán bộ thu phí thu tiền, giao biên lai thu tiền cho người đề nghị gia hạn tạm trú hoặc thông báo trên Cổng dịch vụ công quốc gia hoặc Cổng dịch vụ công Bộ Công an để người đề nghị gia hạn tạm trú thanh toán trực tuyến và nhận biên lai điện tử. + Trường hợp hồ sơ thiếu hoặc không hợp lệ thì cán bộ tiếp nhận hồ sơ hướng dẫn hoặc thông báo trên Cổng dịch vụ công quốc gia hoặc Cổng dịch vụ công Bộ Công an để ngườ</w:t>
      </w:r>
      <w:r>
        <w:rPr>
          <w:rFonts w:ascii="Times New Roman" w:eastAsia="Times New Roman" w:hAnsi="Times New Roman" w:cs="Times New Roman"/>
          <w:sz w:val="26"/>
        </w:rPr>
        <w:t>i đề nghị gia hạn tạm trú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gia hạn tạm trú có thể đề nghị nhận kết quả qua dịch vụ bưu chính và phải trả phí dịch vụ chuyển phát. * Thời gian tiếp nhận hồ sơ: Từ thứ 2 đến sáng thứ 7 hàng tuần (trừ ngày Tết, ngày lễ).</w:t>
      </w:r>
    </w:p>
    <w:p w:rsidR="00FD42D7" w:rsidRDefault="00B838E1">
      <w:pPr>
        <w:spacing w:after="0" w:line="276" w:lineRule="auto"/>
        <w:jc w:val="both"/>
      </w:pPr>
      <w:r>
        <w:rPr>
          <w:rFonts w:ascii="Times New Roman" w:eastAsia="Times New Roman" w:hAnsi="Times New Roman" w:cs="Times New Roman"/>
          <w:sz w:val="26"/>
        </w:rPr>
        <w:t>Bước 3: Nhận kết quả: + Người đề nghị gia hạn tạm trú đến nhận kết quả trực tiếp nhận kết quả tại Cơ quan Quản lý xuất nhập cảnh Công an cấp tỉnh. Khi đến nhận kết quả mang theo giấy hẹn trả kết quả để kiểm tra, đối chiếu. Trường hợp đề nghị nhận kết quả qua dịch vụ bưu chính thực hiện theo hướng dẫn của cơ quan cung cấp dịch vụ bưu chính. + Trường hợp không đồng  ý gia hạn tạm trú thì trả lời bằng văn bản hoặc thông báo trên Cổng dịch vụ công quốc gia hoặc Cổng dịch vụ công Bộ Công an và nêu rõ lý do. + Th</w:t>
      </w:r>
      <w:r>
        <w:rPr>
          <w:rFonts w:ascii="Times New Roman" w:eastAsia="Times New Roman" w:hAnsi="Times New Roman" w:cs="Times New Roman"/>
          <w:sz w:val="26"/>
        </w:rPr>
        <w:t>ời gian trả kết quả: Từ thứ 2 đến thứ 6 hàng tuần (trừ ngày Tết, ngày lễ).</w:t>
      </w:r>
    </w:p>
    <w:p w:rsidR="00FD42D7" w:rsidRDefault="00B838E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8"/>
        <w:gridCol w:w="942"/>
        <w:gridCol w:w="1194"/>
        <w:gridCol w:w="6377"/>
      </w:tblGrid>
      <w:tr w:rsidR="00FD42D7">
        <w:tblPrEx>
          <w:tblCellMar>
            <w:top w:w="0" w:type="dxa"/>
            <w:bottom w:w="0" w:type="dxa"/>
          </w:tblCellMar>
        </w:tblPrEx>
        <w:tc>
          <w:tcPr>
            <w:tcW w:w="15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Phí, lệ phí</w:t>
            </w:r>
          </w:p>
        </w:tc>
        <w:tc>
          <w:tcPr>
            <w:tcW w:w="3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Mô tả</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Trực tiếp</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5 Ngày làm việc</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Lệ phí : 10 USD</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không quá 05 ngày làm việc kể từ khi nhận đủ hồ sơ.</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Trực tuyến</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5 Ngày làm việc</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Lệ phí : 10 USD</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khi nhận đủ hồ sơ.</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Dịch vụ bưu chính</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5 Ngày làm việc</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Lệ phí : 10 USD</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nộp bổ sung hồ sơ qua dịch vụ bưu chính công ích theo thông báo của Cơ quan Quản lý xuất nhập cảnh Công an cấp tỉnh trên Cổng dịch vụ công quốc gia hoặc Cổng dịch vụ công Bộ Công an (nếu có). không quá 05 ngày làm việc kể từ khi nhận đủ hồ sơ.</w:t>
            </w:r>
          </w:p>
        </w:tc>
      </w:tr>
    </w:tbl>
    <w:p w:rsidR="00FD42D7" w:rsidRDefault="00B838E1">
      <w:pPr>
        <w:spacing w:before="240" w:after="0" w:line="276" w:lineRule="auto"/>
        <w:jc w:val="both"/>
      </w:pPr>
      <w:r>
        <w:rPr>
          <w:rFonts w:ascii="Times New Roman" w:eastAsia="Times New Roman" w:hAnsi="Times New Roman" w:cs="Times New Roman"/>
          <w:b/>
          <w:sz w:val="26"/>
        </w:rPr>
        <w:t xml:space="preserve">Thành phần hồ sơ: </w:t>
      </w:r>
    </w:p>
    <w:p w:rsidR="00FD42D7" w:rsidRDefault="00B838E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9"/>
        <w:gridCol w:w="1170"/>
        <w:gridCol w:w="932"/>
      </w:tblGrid>
      <w:tr w:rsidR="00FD42D7">
        <w:tblPrEx>
          <w:tblCellMar>
            <w:top w:w="0" w:type="dxa"/>
            <w:bottom w:w="0" w:type="dxa"/>
          </w:tblCellMar>
        </w:tblPrEx>
        <w:tc>
          <w:tcPr>
            <w:tcW w:w="6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Tên giấy tờ</w:t>
            </w:r>
          </w:p>
        </w:tc>
        <w:tc>
          <w:tcPr>
            <w:tcW w:w="2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Mẫu đơn, tờ khai</w:t>
            </w:r>
          </w:p>
        </w:tc>
        <w:tc>
          <w:tcPr>
            <w:tcW w:w="2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Số lượng</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Tờ khai đề nghị cấp thị thực, gia hạn tạm trú (mẫu NA5) ban hành kèm theo Thông tư số 22/2023/TT-BCA ngày 30/6/2023 của Bộ Công an.</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NA5.doc</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Hộ chiếu hoặc giấy tờ có giá trị đi lại quốc tế của người nước ngoài.</w:t>
            </w:r>
          </w:p>
        </w:tc>
        <w:tc>
          <w:tcPr>
            <w:tcW w:w="0" w:type="auto"/>
          </w:tcPr>
          <w:p w:rsidR="00FD42D7" w:rsidRDefault="00FD42D7"/>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 xml:space="preserve">Trường hợp nộp hồ sơ trực tuyến thì hộ chiếu hoặc giấy tờ có giá trị đi lại quốc tế của người nước ngoài phải gửi qua dịch vụ bưu chính công ích về cơ quan tiếp nhận; thành phần hồ sơ khác  phải được </w:t>
            </w:r>
            <w:r>
              <w:rPr>
                <w:rFonts w:ascii="Times New Roman" w:eastAsia="Times New Roman" w:hAnsi="Times New Roman" w:cs="Times New Roman"/>
                <w:sz w:val="26"/>
              </w:rPr>
              <w:lastRenderedPageBreak/>
              <w:t>chứng thực điện tử theo quy định, trường hợp chưa được chứng thực điện tử thì gửi hồ sơ về cơ quan tiếp nhận thông qua dịch vụ bưu chính công ích.</w:t>
            </w:r>
          </w:p>
        </w:tc>
        <w:tc>
          <w:tcPr>
            <w:tcW w:w="0" w:type="auto"/>
          </w:tcPr>
          <w:p w:rsidR="00FD42D7" w:rsidRDefault="00FD42D7"/>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bl>
    <w:p w:rsidR="00FD42D7" w:rsidRDefault="00B838E1">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Người nước ngoài, Tổ chức nước ngoài</w:t>
      </w:r>
    </w:p>
    <w:p w:rsidR="00FD42D7" w:rsidRDefault="00B838E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xuất nhập cảnh</w:t>
      </w:r>
    </w:p>
    <w:p w:rsidR="00FD42D7" w:rsidRDefault="00B838E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D42D7" w:rsidRDefault="00B838E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Quản lý xuất nhập cảnh, Công an tỉnh, thành phố trực thuộc Trung ương.</w:t>
      </w:r>
    </w:p>
    <w:p w:rsidR="00FD42D7" w:rsidRDefault="00B838E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D42D7" w:rsidRDefault="00B838E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D42D7" w:rsidRDefault="00B838E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Gia hạn chứng nhận tạm trú</w:t>
      </w:r>
    </w:p>
    <w:p w:rsidR="00FD42D7" w:rsidRDefault="00B838E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2"/>
        <w:gridCol w:w="5581"/>
        <w:gridCol w:w="859"/>
        <w:gridCol w:w="1283"/>
      </w:tblGrid>
      <w:tr w:rsidR="00FD42D7">
        <w:tblPrEx>
          <w:tblCellMar>
            <w:top w:w="0" w:type="dxa"/>
            <w:bottom w:w="0" w:type="dxa"/>
          </w:tblCellMar>
        </w:tblPrEx>
        <w:tc>
          <w:tcPr>
            <w:tcW w:w="2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Số ký hiệu</w:t>
            </w:r>
          </w:p>
        </w:tc>
        <w:tc>
          <w:tcPr>
            <w:tcW w:w="35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Trích yếu</w:t>
            </w:r>
          </w:p>
        </w:tc>
        <w:tc>
          <w:tcPr>
            <w:tcW w:w="15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Ngày ban hành</w:t>
            </w:r>
          </w:p>
        </w:tc>
        <w:tc>
          <w:tcPr>
            <w:tcW w:w="3000" w:type="dxa"/>
          </w:tcPr>
          <w:p w:rsidR="00FD42D7" w:rsidRDefault="00FD42D7"/>
          <w:p w:rsidR="00FD42D7" w:rsidRDefault="00B838E1">
            <w:pPr>
              <w:spacing w:after="0" w:line="276" w:lineRule="auto"/>
              <w:jc w:val="center"/>
            </w:pPr>
            <w:r>
              <w:rPr>
                <w:rFonts w:ascii="Times New Roman" w:eastAsia="Times New Roman" w:hAnsi="Times New Roman" w:cs="Times New Roman"/>
                <w:b/>
                <w:sz w:val="26"/>
              </w:rPr>
              <w:t>Cơ quan ban hành</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47/2014/QH13</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Luật 47/2014/QH13</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16-06-2014</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Quốc Hội</w:t>
            </w:r>
          </w:p>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51/2019/QH14</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Luật 51/2019/QH14</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25-11-2019</w:t>
            </w:r>
          </w:p>
        </w:tc>
        <w:tc>
          <w:tcPr>
            <w:tcW w:w="0" w:type="auto"/>
          </w:tcPr>
          <w:p w:rsidR="00FD42D7" w:rsidRDefault="00FD42D7"/>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25/2021/TT-BTC</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Thông tư 25/2021/TT-BTC</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07-04-2021</w:t>
            </w:r>
          </w:p>
        </w:tc>
        <w:tc>
          <w:tcPr>
            <w:tcW w:w="0" w:type="auto"/>
          </w:tcPr>
          <w:p w:rsidR="00FD42D7" w:rsidRDefault="00FD42D7"/>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23/2023/QH15</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24-06-2023</w:t>
            </w:r>
          </w:p>
        </w:tc>
        <w:tc>
          <w:tcPr>
            <w:tcW w:w="0" w:type="auto"/>
          </w:tcPr>
          <w:p w:rsidR="00FD42D7" w:rsidRDefault="00FD42D7"/>
        </w:tc>
      </w:tr>
      <w:tr w:rsidR="00FD42D7">
        <w:tblPrEx>
          <w:tblCellMar>
            <w:top w:w="0" w:type="dxa"/>
            <w:bottom w:w="0" w:type="dxa"/>
          </w:tblCellMar>
        </w:tblPrEx>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22/2023/TT-BCA</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Thông tư số 22/2023/TT-BCA</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30-06-2023</w:t>
            </w:r>
          </w:p>
        </w:tc>
        <w:tc>
          <w:tcPr>
            <w:tcW w:w="0" w:type="auto"/>
          </w:tcPr>
          <w:p w:rsidR="00FD42D7" w:rsidRDefault="00FD42D7"/>
          <w:p w:rsidR="00FD42D7" w:rsidRDefault="00B838E1">
            <w:pPr>
              <w:spacing w:after="0" w:line="276" w:lineRule="auto"/>
            </w:pPr>
            <w:r>
              <w:rPr>
                <w:rFonts w:ascii="Times New Roman" w:eastAsia="Times New Roman" w:hAnsi="Times New Roman" w:cs="Times New Roman"/>
                <w:sz w:val="26"/>
              </w:rPr>
              <w:t>Bộ Công an</w:t>
            </w:r>
          </w:p>
        </w:tc>
      </w:tr>
    </w:tbl>
    <w:p w:rsidR="00FD42D7" w:rsidRDefault="00B838E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đề nghị cấp, bổ sung, sửa đổi thị thực, gia hạn tạm trú cho người nước ngoài, người Việt Nam mang hộ chiếu nước ngoài đã có hồ sơ theo quy định tại khoản 2 Điều 16 Luật Nhập cảnh, xuất cảnh, quá cảnh, cư trú của người nước ngoài tại Việt Nam tại Phòng Quản lý xuất nhập cảnh, Công an tỉnh, thành phố trực thuộc Trung ương.  + Người nước ngoài, người Việt Nam mang hộ chiếu nước ngoài có hộ chiếu hợp lệ, có thị thực (trừ trường hợp miễn thị thực), chứng nhận tạm trú do cơ quan có thẩm quyền V</w:t>
      </w:r>
      <w:r>
        <w:rPr>
          <w:rFonts w:ascii="Times New Roman" w:eastAsia="Times New Roman" w:hAnsi="Times New Roman" w:cs="Times New Roman"/>
          <w:sz w:val="26"/>
        </w:rPr>
        <w:t>iệt Nam cấp, đang cư trú tại Việt Nam và không thuộc diện "chưa cho nhập cảnh Việt Nam" hoặc không thuộc diện “tạm hoãn xuất cảnh”.  + Công dân Việt Nam đề nghị cấp, bổ sung, sửa đổi thị thực, gia hạn tạm trú cho người nước ngoài, người Việt Nam mang hộ chiếu nước ngoài phải là người có quan hệ ông, bà, cha, mẹ, vợ, chồng, con, anh, chị, em ruột với người nước ngoài, người Việt Nam mang hộ chiếu nước ngoài (xuất trình giấy tờ chứng minh quan hệ).</w:t>
      </w:r>
    </w:p>
    <w:p w:rsidR="00FD42D7" w:rsidRDefault="00B838E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D42D7" w:rsidRDefault="00B838E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https://thutuc.dichvucong.gov.vn/p/home/dvc-tthc-thu-tuc-hanh-chinh-chi-tiet.html?ma_thu_tuc=1712</w:t>
      </w:r>
    </w:p>
    <w:sectPr w:rsidR="00FD42D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42D7"/>
    <w:rsid w:val="00740ACD"/>
    <w:rsid w:val="00B838E1"/>
    <w:rsid w:val="00FD4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422682-DD1D-4FAF-B56F-2D8D708F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2025-11-24T08:22:00Z</dcterms:created>
  <dcterms:modified xsi:type="dcterms:W3CDTF">2025-11-24T08:22:00Z</dcterms:modified>
</cp:coreProperties>
</file>