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53F5" w:rsidRDefault="009A1EF4">
      <w:pPr>
        <w:spacing w:after="300" w:line="276" w:lineRule="auto"/>
        <w:jc w:val="center"/>
      </w:pPr>
      <w:r>
        <w:rPr>
          <w:rFonts w:ascii="Times New Roman" w:eastAsia="Times New Roman" w:hAnsi="Times New Roman" w:cs="Times New Roman"/>
          <w:b/>
          <w:sz w:val="26"/>
        </w:rPr>
        <w:t>Chi tiết thủ tục hành chính</w:t>
      </w:r>
    </w:p>
    <w:p w:rsidR="002A53F5" w:rsidRDefault="009A1EF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1.001471</w:t>
      </w:r>
    </w:p>
    <w:p w:rsidR="002A53F5" w:rsidRDefault="009A1EF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rsidR="002A53F5" w:rsidRDefault="009A1EF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hộ chiếu phổ thông ở trong nước (thực hiện tại cấp trung ương)</w:t>
      </w:r>
    </w:p>
    <w:p w:rsidR="002A53F5" w:rsidRDefault="009A1EF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2A53F5" w:rsidRDefault="009A1EF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2A53F5" w:rsidRDefault="009A1EF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2A53F5" w:rsidRDefault="009A1EF4">
      <w:pPr>
        <w:spacing w:after="0" w:line="276" w:lineRule="auto"/>
        <w:jc w:val="both"/>
      </w:pPr>
      <w:r>
        <w:rPr>
          <w:rFonts w:ascii="Times New Roman" w:eastAsia="Times New Roman" w:hAnsi="Times New Roman" w:cs="Times New Roman"/>
          <w:b/>
          <w:sz w:val="26"/>
        </w:rPr>
        <w:t xml:space="preserve">Trình tự thực hiện: </w:t>
      </w:r>
    </w:p>
    <w:p w:rsidR="002A53F5" w:rsidRDefault="002A53F5">
      <w:pPr>
        <w:shd w:val="clear" w:color="auto" w:fill="F2F6F9"/>
        <w:spacing w:before="120" w:after="0" w:line="276" w:lineRule="auto"/>
        <w:jc w:val="both"/>
      </w:pPr>
    </w:p>
    <w:p w:rsidR="002A53F5" w:rsidRDefault="009A1EF4">
      <w:pPr>
        <w:spacing w:after="0" w:line="276" w:lineRule="auto"/>
        <w:jc w:val="both"/>
      </w:pPr>
      <w:r>
        <w:rPr>
          <w:rFonts w:ascii="Times New Roman" w:eastAsia="Times New Roman" w:hAnsi="Times New Roman" w:cs="Times New Roman"/>
          <w:sz w:val="26"/>
        </w:rPr>
        <w:t>Bước 1: Chuẩn bị hồ sơ theo quy định của pháp luật.</w:t>
      </w:r>
    </w:p>
    <w:p w:rsidR="002A53F5" w:rsidRDefault="009A1EF4">
      <w:pPr>
        <w:spacing w:after="0" w:line="276" w:lineRule="auto"/>
        <w:jc w:val="both"/>
      </w:pPr>
      <w:r>
        <w:rPr>
          <w:rFonts w:ascii="Times New Roman" w:eastAsia="Times New Roman" w:hAnsi="Times New Roman" w:cs="Times New Roman"/>
          <w:sz w:val="26"/>
        </w:rPr>
        <w:t>Bước 2: Nộp hồ sơ * Người đề nghị cấp hộ chiếu phổ thông không gắn chíp điện tử từ lần thứ hai hoặc lần đầu nếu thuộc một trong các trường hợp quy định tại khoản 4 Điều 15 Luật Xuất cảnh, nhập cảnh của công dân Việt Nam trực tiếp nộp hồ sơ vào giờ hành chính các ngày làm việc trong tuần tại một trong hai trụ sở làm việc của Cục Quản lý xuất nhập cảnh - Bộ Công an: + Số 44-46 đường Trần Phú, quận Ba Đình, thành phố Hà Nội. + Số 333-335-337 đường Nguyễn Trãi, Quận 1, Thành phố Hồ Chí Minh. Khi đến nộp hồ sơ p</w:t>
      </w:r>
      <w:r>
        <w:rPr>
          <w:rFonts w:ascii="Times New Roman" w:eastAsia="Times New Roman" w:hAnsi="Times New Roman" w:cs="Times New Roman"/>
          <w:sz w:val="26"/>
        </w:rPr>
        <w:t>hải xuất trình Chứng minh nhân dân, Thẻ căn cước công dân hoặc hộ chiếu còn giá trị sử dụng. Hoặc nộp hồ sơ trực tuyến qua Cổng dịch vụ công quốc gia hoặc Cổng dịch vụ công Bộ Công an và gửi bổ sung hồ sơ qua dịch vụ bưu chính công ích theo thông báo của Cục Quản lý xuất nhập cảnh trên Cổng dịch vụ công quốc gia hoặc Cổng dịch vụ công Bộ Công an (nếu có). * Cán bộ quản lý xuất nhập cảnh tiếp nhận hồ sơ kiểm tra tính pháp lý và nội dung hồ sơ: + Trường hợp hồ sơ đã đầy đủ, hợp lệ thì cấp g</w:t>
      </w:r>
      <w:r>
        <w:rPr>
          <w:rFonts w:ascii="Times New Roman" w:eastAsia="Times New Roman" w:hAnsi="Times New Roman" w:cs="Times New Roman"/>
          <w:sz w:val="26"/>
        </w:rPr>
        <w:t>iấy hẹn trả kết quả cho người đề nghị cấp hộ chiếu phổ thông; yêu cầu nộp lệ phí cho cán bộ thu lệ phí. Cán bộ thu lệ phí thu tiền, giao biên lai thu tiền cho người đề nghị cấp hộ chiếu phổ thông hoặc thông báo trên Cổng dịch vụ công quốc gia hoặc Cổng dịch vụ công Bộ Công an để người đề nghị cấp hộ chiếu phổ thông thanh toán trực tuyến và nhận biên lai điện tử. + Trường hợp hồ sơ thiếu hoặc không hợp lệ thì cán bộ tiếp nhận hồ sơ hướng dẫn hoặc thông báo trên Cổng dịch vụ công quốc gia hoặc C</w:t>
      </w:r>
      <w:r>
        <w:rPr>
          <w:rFonts w:ascii="Times New Roman" w:eastAsia="Times New Roman" w:hAnsi="Times New Roman" w:cs="Times New Roman"/>
          <w:sz w:val="26"/>
        </w:rPr>
        <w:t>ổng dịch vụ công Bộ Công an để người đề nghị cấp hộ chiếu phổ thông hoàn chỉnh hồ sơ. + Trường hợp hồ sơ không đủ điều kiện thì không tiếp nhận hồ sơ, trả lời bằng văn bản hoặc thông báo trên Cổng dịch vụ công quốc gia hoặc Cổng dịch vụ công Bộ Công an và nêu rõ lý do. * Người đề nghị cấp hộ chiếu có thể đề nghị nhận kết quả qua dịch vụ bưu chính và phải trả phí dịch vụ chuyển phát. * Thời gian tiếp nhận hồ sơ: Từ thứ 2 đến sáng thứ 7 hàng tuần (trừ ngày Tết, ngày lễ).</w:t>
      </w:r>
    </w:p>
    <w:p w:rsidR="002A53F5" w:rsidRDefault="009A1EF4">
      <w:pPr>
        <w:spacing w:after="0" w:line="276" w:lineRule="auto"/>
        <w:jc w:val="both"/>
      </w:pPr>
      <w:r>
        <w:rPr>
          <w:rFonts w:ascii="Times New Roman" w:eastAsia="Times New Roman" w:hAnsi="Times New Roman" w:cs="Times New Roman"/>
          <w:sz w:val="26"/>
        </w:rPr>
        <w:t xml:space="preserve">Bước 3: Nhận kết quả + Người đề nghị cấp hộ chiếu phổ thông trực tiếp nhận kết quả tại Cục Quản lý xuất nhập cảnh, Bộ Công an. Khi đến nhận kết quả mang theo giấy hẹn trả kết quả, xuất trình Chứng minh nhân dân, Thẻ căn cước công dân. Trường hợp đề nghị nhận kết quả qua dịch vụ bưu chính thực hiện theo hướng dẫn của cơ quan cung cấp dịch </w:t>
      </w:r>
      <w:r>
        <w:rPr>
          <w:rFonts w:ascii="Times New Roman" w:eastAsia="Times New Roman" w:hAnsi="Times New Roman" w:cs="Times New Roman"/>
          <w:sz w:val="26"/>
        </w:rPr>
        <w:lastRenderedPageBreak/>
        <w:t>vụ bưu chính. + Trường hợp chưa cấp hộ chiếu phổ thông thì trả lời bằng văn bản hoặc thông báo trên Cổng dịch vụ công trực tuyến và nêu rõ lý do. + Trường hợp hồ sơ không đủ điều kiện thì không tiếp nhận hồ sơ, trả lời bằng văn bản hoặc thông báo trên Cổng dịch vụ công quốc gia hoặc Cổng dịch vụ công Bộ Công an và nêu rõ lý do. + Thời gian trả kết quả: Từ thứ 2 đến thứ 6 hàng tuần (trừ ngày Tết, ngày lễ).</w:t>
      </w:r>
    </w:p>
    <w:p w:rsidR="002A53F5" w:rsidRDefault="009A1EF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3"/>
        <w:gridCol w:w="805"/>
        <w:gridCol w:w="3370"/>
        <w:gridCol w:w="4473"/>
      </w:tblGrid>
      <w:tr w:rsidR="002A53F5">
        <w:tblPrEx>
          <w:tblCellMar>
            <w:top w:w="0" w:type="dxa"/>
            <w:bottom w:w="0" w:type="dxa"/>
          </w:tblCellMar>
        </w:tblPrEx>
        <w:tc>
          <w:tcPr>
            <w:tcW w:w="1500" w:type="dxa"/>
          </w:tcPr>
          <w:p w:rsidR="002A53F5" w:rsidRDefault="002A53F5"/>
          <w:p w:rsidR="002A53F5" w:rsidRDefault="009A1EF4">
            <w:pPr>
              <w:spacing w:after="0" w:line="276" w:lineRule="auto"/>
              <w:jc w:val="center"/>
            </w:pPr>
            <w:r>
              <w:rPr>
                <w:rFonts w:ascii="Times New Roman" w:eastAsia="Times New Roman" w:hAnsi="Times New Roman" w:cs="Times New Roman"/>
                <w:b/>
                <w:sz w:val="26"/>
              </w:rPr>
              <w:t>Hình thức nộp</w:t>
            </w:r>
          </w:p>
        </w:tc>
        <w:tc>
          <w:tcPr>
            <w:tcW w:w="2000" w:type="dxa"/>
          </w:tcPr>
          <w:p w:rsidR="002A53F5" w:rsidRDefault="002A53F5"/>
          <w:p w:rsidR="002A53F5" w:rsidRDefault="009A1EF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2A53F5" w:rsidRDefault="002A53F5"/>
          <w:p w:rsidR="002A53F5" w:rsidRDefault="009A1EF4">
            <w:pPr>
              <w:spacing w:after="0" w:line="276" w:lineRule="auto"/>
              <w:jc w:val="center"/>
            </w:pPr>
            <w:r>
              <w:rPr>
                <w:rFonts w:ascii="Times New Roman" w:eastAsia="Times New Roman" w:hAnsi="Times New Roman" w:cs="Times New Roman"/>
                <w:b/>
                <w:sz w:val="26"/>
              </w:rPr>
              <w:t>Phí, lệ phí</w:t>
            </w:r>
          </w:p>
        </w:tc>
        <w:tc>
          <w:tcPr>
            <w:tcW w:w="3000" w:type="dxa"/>
          </w:tcPr>
          <w:p w:rsidR="002A53F5" w:rsidRDefault="002A53F5"/>
          <w:p w:rsidR="002A53F5" w:rsidRDefault="009A1EF4">
            <w:pPr>
              <w:spacing w:after="0" w:line="276" w:lineRule="auto"/>
              <w:jc w:val="center"/>
            </w:pPr>
            <w:r>
              <w:rPr>
                <w:rFonts w:ascii="Times New Roman" w:eastAsia="Times New Roman" w:hAnsi="Times New Roman" w:cs="Times New Roman"/>
                <w:b/>
                <w:sz w:val="26"/>
              </w:rPr>
              <w:t>Mô tả</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Trực tiếp</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05 Ngày làm việc</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Phí : 200000 Đồng</w:t>
            </w:r>
            <w:r>
              <w:rPr>
                <w:rFonts w:ascii="Times New Roman" w:eastAsia="Times New Roman" w:hAnsi="Times New Roman" w:cs="Times New Roman"/>
                <w:sz w:val="26"/>
              </w:rPr>
              <w:t xml:space="preserve"> (200.000 đồng/ hộ chiếu. Trường hợp cấp lại do bị hỏng hoặc bị mất: 400.000đ/hộ chiếu (Thông tư số 25/2021/TT-BTC ngày 07/4/2021 của Bộ Tài chính).)</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nộp hồ sơ trực tiếp tại trụ sở Cục Quản lý xuất nhập cảnh (có thể khai tờ khai đề nghị cấp hộ chiếu phổ thông ở trong nước qua các cổng cung cấp dịch vụ công trực tuyến trước khi đến nộp hồ sơ trực tuyến). Không quá 05 ngày làm việc kể từ ngày nhận đầy đủ hồ sơ theo quy định.</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Trực tiếp</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03 Ngày làm việc</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Phí : 200000 Đồng</w:t>
            </w:r>
            <w:r>
              <w:rPr>
                <w:rFonts w:ascii="Times New Roman" w:eastAsia="Times New Roman" w:hAnsi="Times New Roman" w:cs="Times New Roman"/>
                <w:sz w:val="26"/>
              </w:rPr>
              <w:t xml:space="preserve"> (200.000 đồng/ hộ chiếu. Trường hợp cấp lại do bị hỏng hoặc bị mất: 400.000đ/hộ chiếu (Thông tư số 25/2021/TT-BTC ngày 07/4/2021 của Bộ Tài chính).)</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Không quá 03 ngày làm việc kể từ ngày nhận đầy đủ hồ sơ theo quy định đối với các trường hợp quy định tại khoản 4 Điều 15 Luật xuất cảnh, nhập cảnh của công dân Việt Nam.  Có thể khai tờ khai đề nghị cấp hộ chiếu phổ thông ở trong nước qua các cổng cung cấp dịch vụ công trực tuyến, sau đó trực tiếp nộp hồ sơ và nhận kết quả hoặc đề nghị nhận kết quả qua dịch vụ bưu chính.</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Trực tuyến</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05 Ngày làm việc</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 xml:space="preserve">Phí : 200000 Đồng (200.000 đồng/ hộ chiếu. Trường hợp cấp lại do bị hỏng hoặc bị mất: 400.000đ/hộ chiếu (Thông tư số 25/2021/TT-BTC ngày </w:t>
            </w:r>
            <w:r>
              <w:rPr>
                <w:rFonts w:ascii="Times New Roman" w:eastAsia="Times New Roman" w:hAnsi="Times New Roman" w:cs="Times New Roman"/>
                <w:sz w:val="26"/>
              </w:rPr>
              <w:lastRenderedPageBreak/>
              <w:t>07/4/2021 của Bộ Tài chính).)</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Không quá 05 ngày làm việc kể từ ngày nhận đầy đủ hồ sơ theo quy định.</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Trực tuyến</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03 Ngày làm việc</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Phí : 200000 Đồng</w:t>
            </w:r>
            <w:r>
              <w:rPr>
                <w:rFonts w:ascii="Times New Roman" w:eastAsia="Times New Roman" w:hAnsi="Times New Roman" w:cs="Times New Roman"/>
                <w:sz w:val="26"/>
              </w:rPr>
              <w:t xml:space="preserve"> (200.000 đồng/ hộ chiếu. Trường hợp cấp lại do bị hỏng hoặc bị mất: 400.000đ/hộ chiếu (Thông tư số 25/2021/TT-BTC ngày 07/4/2021 của Bộ Tài chính).)</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Không quá 03 ngày làm việc kể từ ngày nhận đầy đủ hồ sơ theo quy định đối với các trường hợp quy định tại khoản 4 Điều 15 Luật xuất cảnh, nhập cảnh của công dân Việt Nam.  Có thể khai tờ khai đề nghị cấp hộ chiếu phổ thông ở trong nước qua các cổng cung cấp dịch vụ công trực tuyến, sau đó trực tiếp nộp hồ sơ và nhận kết quả hoặc đề nghị nhận kết quả qua dịch vụ bưu chính.</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Dịch vụ bưu chính</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05 Ngày làm việc</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Phí : 200000 Đồng (200.000 đồng/ hộ chiếu. Trường hợp cấp lại do bị hỏng hoặc bị mất: 400.000đ/hộ chiếu (Thông tư số 25/2021/TT-BTC ngày 07/4/2021 của Bộ Tài chính).)</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nộp bổ sung hồ sơ qua dịch vụ bưu chính công ích theo thông báo của Cục Quản lý xuất nhập cảnh trên Cổng dịch vụ công quốc gia hoặc Cổng dịch vụ công Bộ Công an (nếu có). Không quá 05 ngày làm việc kể từ ngày nhận đầy đủ hồ sơ theo quy định.</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Dịch vụ bưu chính</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03 Ngày làm việc</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Phí : 200000 Đồng</w:t>
            </w:r>
            <w:r>
              <w:rPr>
                <w:rFonts w:ascii="Times New Roman" w:eastAsia="Times New Roman" w:hAnsi="Times New Roman" w:cs="Times New Roman"/>
                <w:sz w:val="26"/>
              </w:rPr>
              <w:t xml:space="preserve"> (200.000 đồng/ hộ chiếu. Trường hợp cấp lại do bị hỏng hoặc bị mất: 400.000đ/hộ chiếu (Thông tư số 25/2021/TT-BTC ngày 07/4/2021 của Bộ Tài chính).)</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nộp bổ sung hồ sơ qua dịch vụ bưu chính công ích theo thông báo của Cục Quản lý xuất nhập cảnh trên Cổng dịch vụ công quốc gia hoặc Cổng dịch vụ công Bộ Công an (nếu có). Không quá 03 ngày làm việc kể từ ngày nhận đầy đủ hồ sơ theo quy định đối với các trường hợp quy định tại khoản 4 Điều 15 Luật xuất cảnh, nhập cảnh của công dân Việt Nam.  Có thể khai tờ khai đề nghị cấp hộ chiếu phổ thông ở trong nước qua các cổng cung cấp dịch vụ công trực tuyến, sau đó trực tiếp nộp hồ sơ và nhận kết quả hoặc đề nghị nh</w:t>
            </w:r>
            <w:r>
              <w:rPr>
                <w:rFonts w:ascii="Times New Roman" w:eastAsia="Times New Roman" w:hAnsi="Times New Roman" w:cs="Times New Roman"/>
                <w:sz w:val="26"/>
              </w:rPr>
              <w:t>ận kết quả qua dịch vụ bưu chính.</w:t>
            </w:r>
          </w:p>
        </w:tc>
      </w:tr>
    </w:tbl>
    <w:p w:rsidR="002A53F5" w:rsidRDefault="009A1EF4">
      <w:pPr>
        <w:spacing w:before="240" w:after="0" w:line="276" w:lineRule="auto"/>
        <w:jc w:val="both"/>
      </w:pPr>
      <w:r>
        <w:rPr>
          <w:rFonts w:ascii="Times New Roman" w:eastAsia="Times New Roman" w:hAnsi="Times New Roman" w:cs="Times New Roman"/>
          <w:b/>
          <w:sz w:val="26"/>
        </w:rPr>
        <w:t xml:space="preserve">Thành phần hồ sơ: </w:t>
      </w:r>
    </w:p>
    <w:p w:rsidR="002A53F5" w:rsidRDefault="009A1EF4">
      <w:pPr>
        <w:shd w:val="clear" w:color="auto" w:fill="F2F6F9"/>
        <w:spacing w:before="120" w:after="0" w:line="276" w:lineRule="auto"/>
        <w:jc w:val="both"/>
      </w:pPr>
      <w:r>
        <w:rPr>
          <w:rFonts w:ascii="Times New Roman" w:eastAsia="Times New Roman" w:hAnsi="Times New Roman" w:cs="Times New Roman"/>
          <w:b/>
          <w:sz w:val="26"/>
        </w:rPr>
        <w:t>* Các trường hợp quy định tại khoản 4 Điều 15 Luật Xuất cảnh, nhập cảnh của công dân Việt Nam đề nghị cấp hộ chiếu phổ thông ở trong nước lần đầu tại Cục Quản lý xuất nhập cảnh phải bổ sung một trong các loại hồ sơ, giấy tờ sau:</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76"/>
        <w:gridCol w:w="979"/>
        <w:gridCol w:w="1070"/>
      </w:tblGrid>
      <w:tr w:rsidR="002A53F5">
        <w:tblPrEx>
          <w:tblCellMar>
            <w:top w:w="0" w:type="dxa"/>
            <w:bottom w:w="0" w:type="dxa"/>
          </w:tblCellMar>
        </w:tblPrEx>
        <w:tc>
          <w:tcPr>
            <w:tcW w:w="6000" w:type="dxa"/>
          </w:tcPr>
          <w:p w:rsidR="002A53F5" w:rsidRDefault="002A53F5"/>
          <w:p w:rsidR="002A53F5" w:rsidRDefault="009A1EF4">
            <w:pPr>
              <w:spacing w:after="0" w:line="276" w:lineRule="auto"/>
              <w:jc w:val="center"/>
            </w:pPr>
            <w:r>
              <w:rPr>
                <w:rFonts w:ascii="Times New Roman" w:eastAsia="Times New Roman" w:hAnsi="Times New Roman" w:cs="Times New Roman"/>
                <w:b/>
                <w:sz w:val="26"/>
              </w:rPr>
              <w:t>Tên giấy tờ</w:t>
            </w:r>
          </w:p>
        </w:tc>
        <w:tc>
          <w:tcPr>
            <w:tcW w:w="2000" w:type="dxa"/>
          </w:tcPr>
          <w:p w:rsidR="002A53F5" w:rsidRDefault="002A53F5"/>
          <w:p w:rsidR="002A53F5" w:rsidRDefault="009A1EF4">
            <w:pPr>
              <w:spacing w:after="0" w:line="276" w:lineRule="auto"/>
              <w:jc w:val="center"/>
            </w:pPr>
            <w:r>
              <w:rPr>
                <w:rFonts w:ascii="Times New Roman" w:eastAsia="Times New Roman" w:hAnsi="Times New Roman" w:cs="Times New Roman"/>
                <w:b/>
                <w:sz w:val="26"/>
              </w:rPr>
              <w:t>Mẫu đơn, tờ khai</w:t>
            </w:r>
          </w:p>
        </w:tc>
        <w:tc>
          <w:tcPr>
            <w:tcW w:w="2000" w:type="dxa"/>
          </w:tcPr>
          <w:p w:rsidR="002A53F5" w:rsidRDefault="002A53F5"/>
          <w:p w:rsidR="002A53F5" w:rsidRDefault="009A1EF4">
            <w:pPr>
              <w:spacing w:after="0" w:line="276" w:lineRule="auto"/>
              <w:jc w:val="center"/>
            </w:pPr>
            <w:r>
              <w:rPr>
                <w:rFonts w:ascii="Times New Roman" w:eastAsia="Times New Roman" w:hAnsi="Times New Roman" w:cs="Times New Roman"/>
                <w:b/>
                <w:sz w:val="26"/>
              </w:rPr>
              <w:t>Số lượng</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 Giấy giới thiệu hoặc đề nghị của bệnh viện về việc ra nước ngoài để khám, chữa bệnh;</w:t>
            </w:r>
          </w:p>
        </w:tc>
        <w:tc>
          <w:tcPr>
            <w:tcW w:w="0" w:type="auto"/>
          </w:tcPr>
          <w:p w:rsidR="002A53F5" w:rsidRDefault="002A53F5"/>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 Giấy tờ xác định thân nhân ở nước ngoài bị tai nạn, bệnh tật, bị chết;</w:t>
            </w:r>
          </w:p>
        </w:tc>
        <w:tc>
          <w:tcPr>
            <w:tcW w:w="0" w:type="auto"/>
          </w:tcPr>
          <w:p w:rsidR="002A53F5" w:rsidRDefault="002A53F5"/>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 Văn bản đề nghị của cơ quan trực tiếp quản lý đối với cán bộ, công chức, viên chức, sĩ quan, hạ sĩ quan, quân nhân chuyên nghiệp, công nhân, viên chức trong lực lượng vũ trang, người làm việc trong tổ chức cơ yếu;</w:t>
            </w:r>
          </w:p>
        </w:tc>
        <w:tc>
          <w:tcPr>
            <w:tcW w:w="0" w:type="auto"/>
          </w:tcPr>
          <w:p w:rsidR="002A53F5" w:rsidRDefault="002A53F5"/>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 Tài liệu chứng minh đối với các trường hợp vì lý do nhân đạo, khẩn cấp khác.</w:t>
            </w:r>
          </w:p>
        </w:tc>
        <w:tc>
          <w:tcPr>
            <w:tcW w:w="0" w:type="auto"/>
          </w:tcPr>
          <w:p w:rsidR="002A53F5" w:rsidRDefault="002A53F5"/>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2A53F5" w:rsidRDefault="009A1EF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26"/>
        <w:gridCol w:w="2210"/>
        <w:gridCol w:w="889"/>
      </w:tblGrid>
      <w:tr w:rsidR="002A53F5">
        <w:tblPrEx>
          <w:tblCellMar>
            <w:top w:w="0" w:type="dxa"/>
            <w:bottom w:w="0" w:type="dxa"/>
          </w:tblCellMar>
        </w:tblPrEx>
        <w:tc>
          <w:tcPr>
            <w:tcW w:w="6000" w:type="dxa"/>
          </w:tcPr>
          <w:p w:rsidR="002A53F5" w:rsidRDefault="002A53F5"/>
          <w:p w:rsidR="002A53F5" w:rsidRDefault="009A1EF4">
            <w:pPr>
              <w:spacing w:after="0" w:line="276" w:lineRule="auto"/>
              <w:jc w:val="center"/>
            </w:pPr>
            <w:r>
              <w:rPr>
                <w:rFonts w:ascii="Times New Roman" w:eastAsia="Times New Roman" w:hAnsi="Times New Roman" w:cs="Times New Roman"/>
                <w:b/>
                <w:sz w:val="26"/>
              </w:rPr>
              <w:t>Tên giấy tờ</w:t>
            </w:r>
          </w:p>
        </w:tc>
        <w:tc>
          <w:tcPr>
            <w:tcW w:w="2000" w:type="dxa"/>
          </w:tcPr>
          <w:p w:rsidR="002A53F5" w:rsidRDefault="002A53F5"/>
          <w:p w:rsidR="002A53F5" w:rsidRDefault="009A1EF4">
            <w:pPr>
              <w:spacing w:after="0" w:line="276" w:lineRule="auto"/>
              <w:jc w:val="center"/>
            </w:pPr>
            <w:r>
              <w:rPr>
                <w:rFonts w:ascii="Times New Roman" w:eastAsia="Times New Roman" w:hAnsi="Times New Roman" w:cs="Times New Roman"/>
                <w:b/>
                <w:sz w:val="26"/>
              </w:rPr>
              <w:t>Mẫu đơn, tờ khai</w:t>
            </w:r>
          </w:p>
        </w:tc>
        <w:tc>
          <w:tcPr>
            <w:tcW w:w="2000" w:type="dxa"/>
          </w:tcPr>
          <w:p w:rsidR="002A53F5" w:rsidRDefault="002A53F5"/>
          <w:p w:rsidR="002A53F5" w:rsidRDefault="009A1EF4">
            <w:pPr>
              <w:spacing w:after="0" w:line="276" w:lineRule="auto"/>
              <w:jc w:val="center"/>
            </w:pPr>
            <w:r>
              <w:rPr>
                <w:rFonts w:ascii="Times New Roman" w:eastAsia="Times New Roman" w:hAnsi="Times New Roman" w:cs="Times New Roman"/>
                <w:b/>
                <w:sz w:val="26"/>
              </w:rPr>
              <w:t>Số lượng</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+ 02 ảnh mới chụp không quá 06 tháng, cỡ 4cm x6cm, mặt nhìn thẳng, đầu để trần, rõ mặt, rõ hai tai, không đeo kính, trang phục lịch sự, phông nền trắng.</w:t>
            </w:r>
          </w:p>
        </w:tc>
        <w:tc>
          <w:tcPr>
            <w:tcW w:w="0" w:type="auto"/>
          </w:tcPr>
          <w:p w:rsidR="002A53F5" w:rsidRDefault="002A53F5"/>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 Hộ chiếu phổ thông cấp lần gần nhất đối với người đã được cấp hộ chiếu; trường hợp bị mất hộ chiếu, phải có đơn trình báo mất hộ chiếu hoặc thông báo về việc đã tiếp nhận đơn của cơ quan có thẩm quyền quy định tại Điều 28 Luật Xuất cảnh, nhập cảnh của công dân Việt Nam;</w:t>
            </w:r>
          </w:p>
        </w:tc>
        <w:tc>
          <w:tcPr>
            <w:tcW w:w="0" w:type="auto"/>
          </w:tcPr>
          <w:p w:rsidR="002A53F5" w:rsidRDefault="002A53F5"/>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 Bản chụp Chứng minh nhân dân hoặc Thẻ căn cước công dân đối với trường hợp có sự thay đổi thông tin về nhân thân so với thông tin trong hộ chiếu đã cấp lần gần nhất.</w:t>
            </w:r>
          </w:p>
        </w:tc>
        <w:tc>
          <w:tcPr>
            <w:tcW w:w="0" w:type="auto"/>
          </w:tcPr>
          <w:p w:rsidR="002A53F5" w:rsidRDefault="002A53F5"/>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 Bản sao giấy khai sinh hoặc trích lục khai sinh đối với người chưa đủ 14 tuổi;</w:t>
            </w:r>
          </w:p>
        </w:tc>
        <w:tc>
          <w:tcPr>
            <w:tcW w:w="0" w:type="auto"/>
          </w:tcPr>
          <w:p w:rsidR="002A53F5" w:rsidRDefault="002A53F5"/>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 Bản chụp có chứng thực giấy tờ do cơ quan có thẩm quyền của Việt Nam cấp chứng minh người đại diện hợp pháp đối với người mất năng lực hành vi dân sự, người có khó khăn trong nhận thức, làm chủ hành vi theo quy định của Bộ luật dân sự, người chưa đủ 14 tuổi; trường hợp bản chụp không có chứng thực thì xuất trình bản chính để kiểm tra đối chiếu.</w:t>
            </w:r>
          </w:p>
        </w:tc>
        <w:tc>
          <w:tcPr>
            <w:tcW w:w="0" w:type="auto"/>
          </w:tcPr>
          <w:p w:rsidR="002A53F5" w:rsidRDefault="002A53F5"/>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Trường hợp nộp hồ sơ trực tuyến thì thành phần hồ sơ phải được chứng thực điện tử theo quy định, trường hợp hồ sơ chưa được chứng thực điện tử thì gửi hồ sơ về cơ quan tiếp nhận thông qua dịch vụ bưu chính công ích.</w:t>
            </w:r>
          </w:p>
        </w:tc>
        <w:tc>
          <w:tcPr>
            <w:tcW w:w="0" w:type="auto"/>
          </w:tcPr>
          <w:p w:rsidR="002A53F5" w:rsidRDefault="002A53F5"/>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 Số lượng hồ sơ: 01 (một) bộ.</w:t>
            </w:r>
          </w:p>
        </w:tc>
        <w:tc>
          <w:tcPr>
            <w:tcW w:w="0" w:type="auto"/>
          </w:tcPr>
          <w:p w:rsidR="002A53F5" w:rsidRDefault="002A53F5"/>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01 tờ khai đề nghị cấp hộ chiếu phổ thông (mẫu TK01) ban hành kèm theo Thông tư số 73/2021/TT-BCA ngày 29/6/2021 của Bộ Công an. Đối với người mất năng lực hành vi dân sự, người có khó khăn trong nhận thức và làm chủ hành vi, người chưa đủ 14 tuổi, tờ khai do người đại diện hợp pháp khai, ký thay KHÔNG CẦN XÁC NHẬN CỦA CHÍNH QUYỀN ĐỊA PHƯƠNG (XÃ, PHƯỜNG, THỊ TRẤN NƠI CƯ TRÚ);</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Mau TK01.tt73.2021.doc</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2A53F5" w:rsidRDefault="009A1EF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2A53F5" w:rsidRDefault="009A1EF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Cục quản lý xuất nhập cảnh</w:t>
      </w:r>
    </w:p>
    <w:p w:rsidR="002A53F5" w:rsidRDefault="009A1EF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Cục quản lý xuất nhập cảnh</w:t>
      </w:r>
    </w:p>
    <w:p w:rsidR="002A53F5" w:rsidRDefault="009A1EF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Quản lý xuất nhập cảnh - Bộ Công an: + Số 44-46 đường Trần Phú, quận Ba Đình, thành phố Hà Nội. + Số 333-335-337 đường Nguyễn Trãi, Quận 1, Thành phố Hồ Chí Minh.</w:t>
      </w:r>
    </w:p>
    <w:p w:rsidR="002A53F5" w:rsidRDefault="009A1EF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A53F5" w:rsidRDefault="009A1EF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A53F5" w:rsidRDefault="009A1EF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Hộ chiếu phổ thông không gắn chíp điện tử hoặc hộ chiếu phổ thông có gắn chíp điện tử.</w:t>
      </w:r>
    </w:p>
    <w:p w:rsidR="002A53F5" w:rsidRDefault="009A1EF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1"/>
        <w:gridCol w:w="5574"/>
        <w:gridCol w:w="858"/>
        <w:gridCol w:w="1292"/>
      </w:tblGrid>
      <w:tr w:rsidR="002A53F5">
        <w:tblPrEx>
          <w:tblCellMar>
            <w:top w:w="0" w:type="dxa"/>
            <w:bottom w:w="0" w:type="dxa"/>
          </w:tblCellMar>
        </w:tblPrEx>
        <w:tc>
          <w:tcPr>
            <w:tcW w:w="2000" w:type="dxa"/>
          </w:tcPr>
          <w:p w:rsidR="002A53F5" w:rsidRDefault="002A53F5"/>
          <w:p w:rsidR="002A53F5" w:rsidRDefault="009A1EF4">
            <w:pPr>
              <w:spacing w:after="0" w:line="276" w:lineRule="auto"/>
              <w:jc w:val="center"/>
            </w:pPr>
            <w:r>
              <w:rPr>
                <w:rFonts w:ascii="Times New Roman" w:eastAsia="Times New Roman" w:hAnsi="Times New Roman" w:cs="Times New Roman"/>
                <w:b/>
                <w:sz w:val="26"/>
              </w:rPr>
              <w:t>Số ký hiệu</w:t>
            </w:r>
          </w:p>
        </w:tc>
        <w:tc>
          <w:tcPr>
            <w:tcW w:w="3500" w:type="dxa"/>
          </w:tcPr>
          <w:p w:rsidR="002A53F5" w:rsidRDefault="002A53F5"/>
          <w:p w:rsidR="002A53F5" w:rsidRDefault="009A1EF4">
            <w:pPr>
              <w:spacing w:after="0" w:line="276" w:lineRule="auto"/>
              <w:jc w:val="center"/>
            </w:pPr>
            <w:r>
              <w:rPr>
                <w:rFonts w:ascii="Times New Roman" w:eastAsia="Times New Roman" w:hAnsi="Times New Roman" w:cs="Times New Roman"/>
                <w:b/>
                <w:sz w:val="26"/>
              </w:rPr>
              <w:t>Trích yếu</w:t>
            </w:r>
          </w:p>
        </w:tc>
        <w:tc>
          <w:tcPr>
            <w:tcW w:w="1500" w:type="dxa"/>
          </w:tcPr>
          <w:p w:rsidR="002A53F5" w:rsidRDefault="002A53F5"/>
          <w:p w:rsidR="002A53F5" w:rsidRDefault="009A1EF4">
            <w:pPr>
              <w:spacing w:after="0" w:line="276" w:lineRule="auto"/>
              <w:jc w:val="center"/>
            </w:pPr>
            <w:r>
              <w:rPr>
                <w:rFonts w:ascii="Times New Roman" w:eastAsia="Times New Roman" w:hAnsi="Times New Roman" w:cs="Times New Roman"/>
                <w:b/>
                <w:sz w:val="26"/>
              </w:rPr>
              <w:t>Ngày ban hành</w:t>
            </w:r>
          </w:p>
        </w:tc>
        <w:tc>
          <w:tcPr>
            <w:tcW w:w="3000" w:type="dxa"/>
          </w:tcPr>
          <w:p w:rsidR="002A53F5" w:rsidRDefault="002A53F5"/>
          <w:p w:rsidR="002A53F5" w:rsidRDefault="009A1EF4">
            <w:pPr>
              <w:spacing w:after="0" w:line="276" w:lineRule="auto"/>
              <w:jc w:val="center"/>
            </w:pPr>
            <w:r>
              <w:rPr>
                <w:rFonts w:ascii="Times New Roman" w:eastAsia="Times New Roman" w:hAnsi="Times New Roman" w:cs="Times New Roman"/>
                <w:b/>
                <w:sz w:val="26"/>
              </w:rPr>
              <w:t>Cơ quan ban hành</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49/2019/QH14</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Luật 49/2019/QH14</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22-11-2019</w:t>
            </w:r>
          </w:p>
        </w:tc>
        <w:tc>
          <w:tcPr>
            <w:tcW w:w="0" w:type="auto"/>
          </w:tcPr>
          <w:p w:rsidR="002A53F5" w:rsidRDefault="002A53F5"/>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110/2020/TT-BCA</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Thông tư 110/2020/TT-BCA</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16-10-2020</w:t>
            </w:r>
          </w:p>
        </w:tc>
        <w:tc>
          <w:tcPr>
            <w:tcW w:w="0" w:type="auto"/>
          </w:tcPr>
          <w:p w:rsidR="002A53F5" w:rsidRDefault="002A53F5"/>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25/2021/TT-BTC</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Thông tư 25/2021/TT-BTC</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07-04-2021</w:t>
            </w:r>
          </w:p>
        </w:tc>
        <w:tc>
          <w:tcPr>
            <w:tcW w:w="0" w:type="auto"/>
          </w:tcPr>
          <w:p w:rsidR="002A53F5" w:rsidRDefault="002A53F5"/>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44/2023/TT-BTC</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Thông tư 44/2023/TT-BTC</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29-06-2023</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Bộ Tài chính</w:t>
            </w:r>
          </w:p>
        </w:tc>
      </w:tr>
      <w:tr w:rsidR="002A53F5">
        <w:tblPrEx>
          <w:tblCellMar>
            <w:top w:w="0" w:type="dxa"/>
            <w:bottom w:w="0" w:type="dxa"/>
          </w:tblCellMar>
        </w:tblPrEx>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23/2023/QH15</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2A53F5" w:rsidRDefault="002A53F5"/>
          <w:p w:rsidR="002A53F5" w:rsidRDefault="009A1EF4">
            <w:pPr>
              <w:spacing w:after="0" w:line="276" w:lineRule="auto"/>
            </w:pPr>
            <w:r>
              <w:rPr>
                <w:rFonts w:ascii="Times New Roman" w:eastAsia="Times New Roman" w:hAnsi="Times New Roman" w:cs="Times New Roman"/>
                <w:sz w:val="26"/>
              </w:rPr>
              <w:t>24-06-2023</w:t>
            </w:r>
          </w:p>
        </w:tc>
        <w:tc>
          <w:tcPr>
            <w:tcW w:w="0" w:type="auto"/>
          </w:tcPr>
          <w:p w:rsidR="002A53F5" w:rsidRDefault="002A53F5"/>
        </w:tc>
      </w:tr>
    </w:tbl>
    <w:p w:rsidR="002A53F5" w:rsidRDefault="009A1EF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Không thuộc các trường hợp chưa được cấp giấy tờ xuất nhập cảnh theo quy định tại Điều 21 Luật xuất cảnh, nhập cảnh của công dân Việt Nam. + Công dân Việt Nam đề nghị cấp hộ chiếu từ lần thứ hai trở đi hoặc đề nghị cấp hộ chiếu lần đầu nếu thuộc một trong các trường hợp quy định tại khoản 4 Điều 15 Luật Xuất cảnh, nhập cảnh của công dân Việt Nam.</w:t>
      </w:r>
    </w:p>
    <w:p w:rsidR="002A53F5" w:rsidRDefault="009A1EF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hộ chiếu phổ thông trong nước</w:t>
      </w:r>
    </w:p>
    <w:p w:rsidR="002A53F5" w:rsidRDefault="009A1EF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https://thutuc.dichvucong.gov.vn/p/home/dvc-tthc-thu-tuc-hanh-chinh-chi-tiet.html?ma_thu_tuc=2149</w:t>
      </w:r>
    </w:p>
    <w:sectPr w:rsidR="002A53F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A53F5"/>
    <w:rsid w:val="002A53F5"/>
    <w:rsid w:val="00725953"/>
    <w:rsid w:val="009A1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E27424-9E1B-461B-8436-EE9CD74B7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1598</Words>
  <Characters>9111</Characters>
  <Application>Microsoft Office Word</Application>
  <DocSecurity>0</DocSecurity>
  <Lines>75</Lines>
  <Paragraphs>21</Paragraphs>
  <ScaleCrop>false</ScaleCrop>
  <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2025-11-24T08:25:00Z</dcterms:created>
  <dcterms:modified xsi:type="dcterms:W3CDTF">2025-11-24T08:25:00Z</dcterms:modified>
</cp:coreProperties>
</file>