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1E42" w:rsidRDefault="00E870CA">
      <w:pPr>
        <w:spacing w:after="300" w:line="276" w:lineRule="auto"/>
        <w:jc w:val="center"/>
      </w:pPr>
      <w:r>
        <w:rPr>
          <w:rFonts w:ascii="Times New Roman" w:eastAsia="Times New Roman" w:hAnsi="Times New Roman" w:cs="Times New Roman"/>
          <w:b/>
          <w:sz w:val="26"/>
        </w:rPr>
        <w:t>Chi tiết thủ tục hành chính</w:t>
      </w:r>
    </w:p>
    <w:p w:rsidR="00961E42" w:rsidRDefault="00E870C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1.002390</w:t>
      </w:r>
    </w:p>
    <w:p w:rsidR="00961E42" w:rsidRDefault="00E870C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8258/QĐ-BCA-QLXNC</w:t>
      </w:r>
    </w:p>
    <w:p w:rsidR="00961E42" w:rsidRDefault="00E870C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cấp giấy phép xuất nhập cảnh cho người không quốc tịch cư trú tại Việt Nam tại Phòng Quản lý xuất nhập cảnh Công an tỉnh, thành phố trực thuộc Trung ương</w:t>
      </w:r>
    </w:p>
    <w:p w:rsidR="00961E42" w:rsidRDefault="00E870C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961E42" w:rsidRDefault="00E870C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61E42" w:rsidRDefault="00E870C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961E42" w:rsidRDefault="00E870CA">
      <w:pPr>
        <w:spacing w:after="0" w:line="276" w:lineRule="auto"/>
        <w:jc w:val="both"/>
      </w:pPr>
      <w:r>
        <w:rPr>
          <w:rFonts w:ascii="Times New Roman" w:eastAsia="Times New Roman" w:hAnsi="Times New Roman" w:cs="Times New Roman"/>
          <w:b/>
          <w:sz w:val="26"/>
        </w:rPr>
        <w:t xml:space="preserve">Trình tự thực hiện: </w:t>
      </w:r>
    </w:p>
    <w:p w:rsidR="00961E42" w:rsidRDefault="00961E42">
      <w:pPr>
        <w:shd w:val="clear" w:color="auto" w:fill="F2F6F9"/>
        <w:spacing w:before="120" w:after="0" w:line="276" w:lineRule="auto"/>
        <w:jc w:val="both"/>
      </w:pPr>
    </w:p>
    <w:p w:rsidR="00961E42" w:rsidRDefault="00E870CA">
      <w:pPr>
        <w:spacing w:after="0" w:line="276" w:lineRule="auto"/>
        <w:jc w:val="both"/>
      </w:pPr>
      <w:r>
        <w:rPr>
          <w:rFonts w:ascii="Times New Roman" w:eastAsia="Times New Roman" w:hAnsi="Times New Roman" w:cs="Times New Roman"/>
          <w:sz w:val="26"/>
        </w:rPr>
        <w:t xml:space="preserve">Bước 1: Chuẩn bị hồ sơ theo quy định của pháp luật (được nêu cụ thể tại mục 3.3. Thành phần, số lượng hồ sơ) Bước 2: Nộp hồ sơ trực tiếp vào giờ hành chính các ngày làm việc trong tuần tại Cơ quan Quản lý xuất nhập cảnh Công an cấp tỉnh hoặc nộp hồ sơ qua Cổng dịch vụ công quốc gia hoặc Cổng dịch vụ công Bộ Công an và gửi bổ sung hồ sơ qua dịch vụ bưu chính công ích theo thông báo của Cơ quan Quản lý xuất nhập cảnh Công an cấp tỉnh trên Cổng dịch vụ công quốc gia hoặc Cổng dịch vụ công Bộ Công an (nếu có). </w:t>
      </w:r>
      <w:r>
        <w:rPr>
          <w:rFonts w:ascii="Times New Roman" w:eastAsia="Times New Roman" w:hAnsi="Times New Roman" w:cs="Times New Roman"/>
          <w:sz w:val="26"/>
        </w:rPr>
        <w:t>* Cán bộ tiếp nhận hồ sơ kiểm tra tính pháp lý và nội dung hồ sơ:  + Trường hợp hồ sơ đã đầy đủ, hợp lệ thì cấp giấy hẹn trả kết quả cho người đề nghị cấp giấy phép xuất nhập cảnh; yêu cầu nộp phí cho cán bộ thu phí, cán bộ thu phí thu tiền, giao biên lai thu tiền cho người đề nghị cấp giấy phép xuất nhập cảnh hoặc thông báo trên Cổng dịch vụ công quốc gia hoặc Cổng dịch vụ công Bộ Công an để người đề nghị cấp giấy phép xuất nhập cảnh thanh toán trực tuyến và nhận biên lai điện tử. + Trư</w:t>
      </w:r>
      <w:r>
        <w:rPr>
          <w:rFonts w:ascii="Times New Roman" w:eastAsia="Times New Roman" w:hAnsi="Times New Roman" w:cs="Times New Roman"/>
          <w:sz w:val="26"/>
        </w:rPr>
        <w:t>ờng hợp hồ sơ thiếu hoặc không hợp lệ thì cán bộ tiếp nhận hồ sơ hướng dẫn hoặc thông báo trên Cổng dịch vụ công quốc gia hoặc Cổng dịch vụ công Bộ Công an để người đề nghị cấp giấy phép xuất nhập cảnh hoàn chỉnh hồ sơ.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cấp giấy phép xuất nhập cảnh có thể đề nghị n</w:t>
      </w:r>
      <w:r>
        <w:rPr>
          <w:rFonts w:ascii="Times New Roman" w:eastAsia="Times New Roman" w:hAnsi="Times New Roman" w:cs="Times New Roman"/>
          <w:sz w:val="26"/>
        </w:rPr>
        <w:t xml:space="preserve">hận kết quả qua dịch vụ bưu chính và phải trả phí dịch vụ chuyển phát. * Thời gian tiếp nhận hồ sơ: Từ thứ 2 đến sáng thứ 7 hàng tuần (trừ ngày Tết, ngày lễ).  Bước 3: Trả kết quả: + Người đến nhận kết quả trực tiếp nhận kết quả tại Cơ quan Quản lý xuất nhập cảnh Công an cấp tỉnh. Khi đến nhận kết quả mang theo giấy hẹn trả kết quả để kiểm tra, đối chiếu. Trường hợp đề nghị nhận kết quả qua dịch vụ bưu chính thực hiện theo hướng dẫn của cơ quan cung cấp dịch vụ bưu chính. + Trường hợp không đồng ý </w:t>
      </w:r>
      <w:r>
        <w:rPr>
          <w:rFonts w:ascii="Times New Roman" w:eastAsia="Times New Roman" w:hAnsi="Times New Roman" w:cs="Times New Roman"/>
          <w:sz w:val="26"/>
        </w:rPr>
        <w:t>cấp giấy phép xuất nhập cảnh thì trả lời bằng văn bản hoặc thông báo trên Cổng dịch vụ công quốc gia hoặc Cổng dịch vụ công Bộ Công an và nêu rõ lý do. + Thời gian trả kết quả: Từ thứ 2 đến thứ 6 hàng tuần (trừ ngày Tết, ngày lễ).</w:t>
      </w:r>
    </w:p>
    <w:p w:rsidR="00961E42" w:rsidRDefault="00E870CA">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6"/>
        <w:gridCol w:w="869"/>
        <w:gridCol w:w="1775"/>
        <w:gridCol w:w="5941"/>
      </w:tblGrid>
      <w:tr w:rsidR="00961E42">
        <w:tblPrEx>
          <w:tblCellMar>
            <w:top w:w="0" w:type="dxa"/>
            <w:bottom w:w="0" w:type="dxa"/>
          </w:tblCellMar>
        </w:tblPrEx>
        <w:tc>
          <w:tcPr>
            <w:tcW w:w="1500" w:type="dxa"/>
          </w:tcPr>
          <w:p w:rsidR="00961E42" w:rsidRDefault="00961E42"/>
          <w:p w:rsidR="00961E42" w:rsidRDefault="00E870CA">
            <w:pPr>
              <w:spacing w:after="0" w:line="276" w:lineRule="auto"/>
              <w:jc w:val="center"/>
            </w:pPr>
            <w:r>
              <w:rPr>
                <w:rFonts w:ascii="Times New Roman" w:eastAsia="Times New Roman" w:hAnsi="Times New Roman" w:cs="Times New Roman"/>
                <w:b/>
                <w:sz w:val="26"/>
              </w:rPr>
              <w:t>Hình thức nộp</w:t>
            </w:r>
          </w:p>
        </w:tc>
        <w:tc>
          <w:tcPr>
            <w:tcW w:w="2000" w:type="dxa"/>
          </w:tcPr>
          <w:p w:rsidR="00961E42" w:rsidRDefault="00961E42"/>
          <w:p w:rsidR="00961E42" w:rsidRDefault="00E870C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61E42" w:rsidRDefault="00961E42"/>
          <w:p w:rsidR="00961E42" w:rsidRDefault="00E870CA">
            <w:pPr>
              <w:spacing w:after="0" w:line="276" w:lineRule="auto"/>
              <w:jc w:val="center"/>
            </w:pPr>
            <w:r>
              <w:rPr>
                <w:rFonts w:ascii="Times New Roman" w:eastAsia="Times New Roman" w:hAnsi="Times New Roman" w:cs="Times New Roman"/>
                <w:b/>
                <w:sz w:val="26"/>
              </w:rPr>
              <w:t>Phí, lệ phí</w:t>
            </w:r>
          </w:p>
        </w:tc>
        <w:tc>
          <w:tcPr>
            <w:tcW w:w="3000" w:type="dxa"/>
          </w:tcPr>
          <w:p w:rsidR="00961E42" w:rsidRDefault="00961E42"/>
          <w:p w:rsidR="00961E42" w:rsidRDefault="00E870CA">
            <w:pPr>
              <w:spacing w:after="0" w:line="276" w:lineRule="auto"/>
              <w:jc w:val="center"/>
            </w:pPr>
            <w:r>
              <w:rPr>
                <w:rFonts w:ascii="Times New Roman" w:eastAsia="Times New Roman" w:hAnsi="Times New Roman" w:cs="Times New Roman"/>
                <w:b/>
                <w:sz w:val="26"/>
              </w:rPr>
              <w:t>Mô tả</w:t>
            </w:r>
          </w:p>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Trực tiếp</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5 Ngày làm việc</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Lệ phí : 200000 Đồng (200.000 VNĐ/giấy phép)</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nộp hồ sơ trực tiếp tại trụ sở Cơ quan Quản lý xuất nhập cảnh Công an cấp tỉnh. Trong thời hạn 03 ngày làm việc kể từ ngày nhận đủ hồ sơ, Phòng Quản lý xuất nhập cảnh Công an tỉnh, thành phố trực thuộc trung ương xem xét và chuyển hồ sơ đề nghị cấp, cấp lại giấy phép xuất nhập cảnh về Cục Quản lý xuất nhập cảnh. Cục Quản lý xuất nhập cảnh xem xét cấp, cấp lại giấy phép xuất nhập cảnh  trong thời hạn 02 ngày làm việc.</w:t>
            </w:r>
          </w:p>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Trực tuyến</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5 Ngày làm việc</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Lệ phí : 200000 Đồng</w:t>
            </w:r>
            <w:r>
              <w:rPr>
                <w:rFonts w:ascii="Times New Roman" w:eastAsia="Times New Roman" w:hAnsi="Times New Roman" w:cs="Times New Roman"/>
                <w:sz w:val="26"/>
              </w:rPr>
              <w:t xml:space="preserve"> (200.000 VNĐ/giấy phép)</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Trong thời hạn 03 ngày làm việc kể từ ngày nhận đủ hồ sơ, Phòng Quản lý xuất nhập cảnh Công an tỉnh, thành phố trực thuộc trung ương xem xét và chuyển hồ sơ đề nghị cấp, cấp lại giấy phép xuất nhập cảnh về Cục Quản lý xuất nhập cảnh. Cục Quản lý xuất nhập cảnh xem xét cấp, cấp lại giấy phép xuất nhập cảnh  trong thời hạn 02 ngày làm việc.</w:t>
            </w:r>
          </w:p>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Dịch vụ bưu chính</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5 Ngày làm việc</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Lệ phí : 200000 Đồng (200.000 VNĐ/giấy phép)</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nộp bổ sung hồ sơ qua dịch vụ bưu chính công ích theo thông báo của Cơ quan Quản lý xuất nhập cảnh Công an cấp tỉnh trên Cổng dịch vụ công quốc gia hoặc Cổng dịch vụ công Bộ Công an (nếu có). Trong thời hạn 03 ngày làm việc kể từ ngày nhận đủ hồ sơ, Phòng Quản lý xuất nhập cảnh Công an tỉnh, thành phố trực thuộc trung ương xem xét và chuyển hồ sơ đề nghị cấp, cấp lại giấy phép xuất nhập cảnh về Cục Quản lý xuất nhập cảnh. Cục Quản lý xuất nhập cảnh xem xét cấp, cấp lại giấy phép xuất nhập cảnh  trong thời h</w:t>
            </w:r>
            <w:r>
              <w:rPr>
                <w:rFonts w:ascii="Times New Roman" w:eastAsia="Times New Roman" w:hAnsi="Times New Roman" w:cs="Times New Roman"/>
                <w:sz w:val="26"/>
              </w:rPr>
              <w:t>ạn 02 ngày làm việc.</w:t>
            </w:r>
          </w:p>
        </w:tc>
      </w:tr>
    </w:tbl>
    <w:p w:rsidR="00961E42" w:rsidRDefault="00E870CA">
      <w:pPr>
        <w:spacing w:before="240" w:after="0" w:line="276" w:lineRule="auto"/>
        <w:jc w:val="both"/>
      </w:pPr>
      <w:r>
        <w:rPr>
          <w:rFonts w:ascii="Times New Roman" w:eastAsia="Times New Roman" w:hAnsi="Times New Roman" w:cs="Times New Roman"/>
          <w:b/>
          <w:sz w:val="26"/>
        </w:rPr>
        <w:t xml:space="preserve">Thành phần hồ sơ: </w:t>
      </w:r>
    </w:p>
    <w:p w:rsidR="00961E42" w:rsidRDefault="00E870CA">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78"/>
        <w:gridCol w:w="1325"/>
        <w:gridCol w:w="1022"/>
      </w:tblGrid>
      <w:tr w:rsidR="00961E42">
        <w:tblPrEx>
          <w:tblCellMar>
            <w:top w:w="0" w:type="dxa"/>
            <w:bottom w:w="0" w:type="dxa"/>
          </w:tblCellMar>
        </w:tblPrEx>
        <w:tc>
          <w:tcPr>
            <w:tcW w:w="6000" w:type="dxa"/>
          </w:tcPr>
          <w:p w:rsidR="00961E42" w:rsidRDefault="00961E42"/>
          <w:p w:rsidR="00961E42" w:rsidRDefault="00E870CA">
            <w:pPr>
              <w:spacing w:after="0" w:line="276" w:lineRule="auto"/>
              <w:jc w:val="center"/>
            </w:pPr>
            <w:r>
              <w:rPr>
                <w:rFonts w:ascii="Times New Roman" w:eastAsia="Times New Roman" w:hAnsi="Times New Roman" w:cs="Times New Roman"/>
                <w:b/>
                <w:sz w:val="26"/>
              </w:rPr>
              <w:t>Tên giấy tờ</w:t>
            </w:r>
          </w:p>
        </w:tc>
        <w:tc>
          <w:tcPr>
            <w:tcW w:w="2000" w:type="dxa"/>
          </w:tcPr>
          <w:p w:rsidR="00961E42" w:rsidRDefault="00961E42"/>
          <w:p w:rsidR="00961E42" w:rsidRDefault="00E870CA">
            <w:pPr>
              <w:spacing w:after="0" w:line="276" w:lineRule="auto"/>
              <w:jc w:val="center"/>
            </w:pPr>
            <w:r>
              <w:rPr>
                <w:rFonts w:ascii="Times New Roman" w:eastAsia="Times New Roman" w:hAnsi="Times New Roman" w:cs="Times New Roman"/>
                <w:b/>
                <w:sz w:val="26"/>
              </w:rPr>
              <w:t>Mẫu đơn, tờ khai</w:t>
            </w:r>
          </w:p>
        </w:tc>
        <w:tc>
          <w:tcPr>
            <w:tcW w:w="2000" w:type="dxa"/>
          </w:tcPr>
          <w:p w:rsidR="00961E42" w:rsidRDefault="00961E42"/>
          <w:p w:rsidR="00961E42" w:rsidRDefault="00E870CA">
            <w:pPr>
              <w:spacing w:after="0" w:line="276" w:lineRule="auto"/>
              <w:jc w:val="center"/>
            </w:pPr>
            <w:r>
              <w:rPr>
                <w:rFonts w:ascii="Times New Roman" w:eastAsia="Times New Roman" w:hAnsi="Times New Roman" w:cs="Times New Roman"/>
                <w:b/>
                <w:sz w:val="26"/>
              </w:rPr>
              <w:t>Số lượng</w:t>
            </w:r>
          </w:p>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Tờ khai đề nghị cấp, cấp lại giấy phép xuất nhập cảnh (mẫu NC14) ban hành kèm theo Thông tư số 31/2015/TT-BCA ngày 06/7/2015 của Bộ Công an.</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NC14.doc</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02 ảnh mới chụp, cỡ 4cm x 6cm, phông nền trắng, mặt nhìn thẳng, đầu để trần, không đeo kính màu (01 ảnh dán vào tờ khai, 01 ảnh để rời).</w:t>
            </w:r>
          </w:p>
        </w:tc>
        <w:tc>
          <w:tcPr>
            <w:tcW w:w="0" w:type="auto"/>
          </w:tcPr>
          <w:p w:rsidR="00961E42" w:rsidRDefault="00961E42"/>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Đơn giải trình về thời gian đã tạm trú tại Việt Nam.</w:t>
            </w:r>
          </w:p>
        </w:tc>
        <w:tc>
          <w:tcPr>
            <w:tcW w:w="0" w:type="auto"/>
          </w:tcPr>
          <w:p w:rsidR="00961E42" w:rsidRDefault="00961E42"/>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Trường hợp nộp hồ sơ trực tuyến thì thành phần hồ sơ phải được chứng thực điện tử theo quy định, trường hợp hồ sơ chưa được chứng thực điện tử thì gửi hồ sơ về cơ quan tiếp nhận thông qua dịch vụ bưu chính công ích.</w:t>
            </w:r>
          </w:p>
        </w:tc>
        <w:tc>
          <w:tcPr>
            <w:tcW w:w="0" w:type="auto"/>
          </w:tcPr>
          <w:p w:rsidR="00961E42" w:rsidRDefault="00961E42"/>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961E42" w:rsidRDefault="00E870C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rsidR="00961E42" w:rsidRDefault="00E870C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quản lý xuất nhập cảnh</w:t>
      </w:r>
    </w:p>
    <w:p w:rsidR="00961E42" w:rsidRDefault="00E870C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rsidR="00961E42" w:rsidRDefault="00E870C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Tại Phòng Quản lý xuất nhập cảnh Công an tỉnh, thành phố trực thuộc Trung ương</w:t>
      </w:r>
    </w:p>
    <w:p w:rsidR="00961E42" w:rsidRDefault="00E870C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61E42" w:rsidRDefault="00E870C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61E42" w:rsidRDefault="00E870C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nhập cảnh</w:t>
      </w:r>
    </w:p>
    <w:p w:rsidR="00961E42" w:rsidRDefault="00E870C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85"/>
        <w:gridCol w:w="5578"/>
        <w:gridCol w:w="810"/>
        <w:gridCol w:w="1152"/>
      </w:tblGrid>
      <w:tr w:rsidR="00961E42">
        <w:tblPrEx>
          <w:tblCellMar>
            <w:top w:w="0" w:type="dxa"/>
            <w:bottom w:w="0" w:type="dxa"/>
          </w:tblCellMar>
        </w:tblPrEx>
        <w:tc>
          <w:tcPr>
            <w:tcW w:w="2000" w:type="dxa"/>
          </w:tcPr>
          <w:p w:rsidR="00961E42" w:rsidRDefault="00961E42"/>
          <w:p w:rsidR="00961E42" w:rsidRDefault="00E870CA">
            <w:pPr>
              <w:spacing w:after="0" w:line="276" w:lineRule="auto"/>
              <w:jc w:val="center"/>
            </w:pPr>
            <w:r>
              <w:rPr>
                <w:rFonts w:ascii="Times New Roman" w:eastAsia="Times New Roman" w:hAnsi="Times New Roman" w:cs="Times New Roman"/>
                <w:b/>
                <w:sz w:val="26"/>
              </w:rPr>
              <w:t>Số ký hiệu</w:t>
            </w:r>
          </w:p>
        </w:tc>
        <w:tc>
          <w:tcPr>
            <w:tcW w:w="3500" w:type="dxa"/>
          </w:tcPr>
          <w:p w:rsidR="00961E42" w:rsidRDefault="00961E42"/>
          <w:p w:rsidR="00961E42" w:rsidRDefault="00E870CA">
            <w:pPr>
              <w:spacing w:after="0" w:line="276" w:lineRule="auto"/>
              <w:jc w:val="center"/>
            </w:pPr>
            <w:r>
              <w:rPr>
                <w:rFonts w:ascii="Times New Roman" w:eastAsia="Times New Roman" w:hAnsi="Times New Roman" w:cs="Times New Roman"/>
                <w:b/>
                <w:sz w:val="26"/>
              </w:rPr>
              <w:t>Trích yếu</w:t>
            </w:r>
          </w:p>
        </w:tc>
        <w:tc>
          <w:tcPr>
            <w:tcW w:w="1500" w:type="dxa"/>
          </w:tcPr>
          <w:p w:rsidR="00961E42" w:rsidRDefault="00961E42"/>
          <w:p w:rsidR="00961E42" w:rsidRDefault="00E870CA">
            <w:pPr>
              <w:spacing w:after="0" w:line="276" w:lineRule="auto"/>
              <w:jc w:val="center"/>
            </w:pPr>
            <w:r>
              <w:rPr>
                <w:rFonts w:ascii="Times New Roman" w:eastAsia="Times New Roman" w:hAnsi="Times New Roman" w:cs="Times New Roman"/>
                <w:b/>
                <w:sz w:val="26"/>
              </w:rPr>
              <w:t>Ngày ban hành</w:t>
            </w:r>
          </w:p>
        </w:tc>
        <w:tc>
          <w:tcPr>
            <w:tcW w:w="3000" w:type="dxa"/>
          </w:tcPr>
          <w:p w:rsidR="00961E42" w:rsidRDefault="00961E42"/>
          <w:p w:rsidR="00961E42" w:rsidRDefault="00E870CA">
            <w:pPr>
              <w:spacing w:after="0" w:line="276" w:lineRule="auto"/>
              <w:jc w:val="center"/>
            </w:pPr>
            <w:r>
              <w:rPr>
                <w:rFonts w:ascii="Times New Roman" w:eastAsia="Times New Roman" w:hAnsi="Times New Roman" w:cs="Times New Roman"/>
                <w:b/>
                <w:sz w:val="26"/>
              </w:rPr>
              <w:t>Cơ quan ban hành</w:t>
            </w:r>
          </w:p>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Luật 47/2014/QH13</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Luật Nhập cảnh, xuất cảnh, quá cảnh, cư trú của người nước ngoài tại Việt Nam</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16-06-2014</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Quốc Hội</w:t>
            </w:r>
          </w:p>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Thông tư 31/2015/TT-BCA</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Hướng dẫn một số nội dung về cấp thị thực, cấp thẻ tạm trú, cấp giấy phép xuất nhập cảnh, giải quyết thường trú cho người nước ngoài tại Việt Nam</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06-07-2015</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Bộ Công an</w:t>
            </w:r>
          </w:p>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51/2019/QH14</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Luật 51/2019/QH14</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25-11-2019</w:t>
            </w:r>
          </w:p>
        </w:tc>
        <w:tc>
          <w:tcPr>
            <w:tcW w:w="0" w:type="auto"/>
          </w:tcPr>
          <w:p w:rsidR="00961E42" w:rsidRDefault="00961E42"/>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25/2021/TT-BTC</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Thông tư 25/2021/TT-BTC</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07-04-2021</w:t>
            </w:r>
          </w:p>
        </w:tc>
        <w:tc>
          <w:tcPr>
            <w:tcW w:w="0" w:type="auto"/>
          </w:tcPr>
          <w:p w:rsidR="00961E42" w:rsidRDefault="00961E42"/>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23/2023/QH15</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24-06-2023</w:t>
            </w:r>
          </w:p>
        </w:tc>
        <w:tc>
          <w:tcPr>
            <w:tcW w:w="0" w:type="auto"/>
          </w:tcPr>
          <w:p w:rsidR="00961E42" w:rsidRDefault="00961E42"/>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65/2022/TT-BCA</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Thông tư số 65/2022/TT-BCA ngày 30/12/2022 của Bộ trưởng Bộ Công an bãi bỏ toàn bộ hoặc một phần một số văn bản quy phạm pháp luật do Bộ trưởng Bộ Công an ban hành.</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30-12-2022</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Bộ Công an</w:t>
            </w:r>
          </w:p>
        </w:tc>
      </w:tr>
      <w:tr w:rsidR="00961E42">
        <w:tblPrEx>
          <w:tblCellMar>
            <w:top w:w="0" w:type="dxa"/>
            <w:bottom w:w="0" w:type="dxa"/>
          </w:tblCellMar>
        </w:tblPrEx>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06/2025/TT-BCA</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Thông tư số 06/2025/TT-BCA ngày 16/01/2025 của Bộ trưởng Bộ Công an bãi bỏ một số văn bản quy phạm pháp luật do Bộ trưởng Bộ Công an ban hành.</w:t>
            </w:r>
          </w:p>
        </w:tc>
        <w:tc>
          <w:tcPr>
            <w:tcW w:w="0" w:type="auto"/>
          </w:tcPr>
          <w:p w:rsidR="00961E42" w:rsidRDefault="00961E42"/>
          <w:p w:rsidR="00961E42" w:rsidRDefault="00E870CA">
            <w:pPr>
              <w:spacing w:after="0" w:line="276" w:lineRule="auto"/>
            </w:pPr>
            <w:r>
              <w:rPr>
                <w:rFonts w:ascii="Times New Roman" w:eastAsia="Times New Roman" w:hAnsi="Times New Roman" w:cs="Times New Roman"/>
                <w:sz w:val="26"/>
              </w:rPr>
              <w:t>16-01-2025</w:t>
            </w:r>
          </w:p>
        </w:tc>
        <w:tc>
          <w:tcPr>
            <w:tcW w:w="0" w:type="auto"/>
          </w:tcPr>
          <w:p w:rsidR="00961E42" w:rsidRDefault="00961E42"/>
        </w:tc>
      </w:tr>
    </w:tbl>
    <w:p w:rsidR="00961E42" w:rsidRDefault="00E870C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Có thẻ thường trú do cơ quan quản lý xuất nhập cảnh của Việt Nam cấp, trường hợp chưa được giải quyết cấp thẻ thường trú thì phải có đơn giải trình về thời gian đã tạm trú tại Việt Nam, KHÔNG CẦN xác nhận của công an xã, phường, thị trấn nơi người không quốc tịch tạm trú. + Không có hộ chiếu hoặc giấy tờ thay thế hộ chiếu do cơ quan có thẩm quyền của nước ngoài cấp. + Không thuộc một trong các trường hợp bị tạm hoãn xuất cảnh theo quy định của pháp luật Việt Nam.</w:t>
      </w:r>
    </w:p>
    <w:p w:rsidR="00961E42" w:rsidRDefault="00E870C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61E42" w:rsidRDefault="00E870C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https://thutuc.dichvucong.gov.vn/p/home/dvc-tthc-thu-tuc-hanh-chinh-chi-tiet.html?ma_thu_tuc=3426</w:t>
      </w:r>
    </w:p>
    <w:sectPr w:rsidR="00961E4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61E42"/>
    <w:rsid w:val="00961E42"/>
    <w:rsid w:val="00CD6759"/>
    <w:rsid w:val="00E87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C6C483-E54E-4D5D-8F0B-2C66759E0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1054</Words>
  <Characters>6013</Characters>
  <Application>Microsoft Office Word</Application>
  <DocSecurity>0</DocSecurity>
  <Lines>50</Lines>
  <Paragraphs>14</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2025-11-24T08:26:00Z</dcterms:created>
  <dcterms:modified xsi:type="dcterms:W3CDTF">2025-11-24T08:26:00Z</dcterms:modified>
</cp:coreProperties>
</file>