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53D" w:rsidRDefault="00A33311">
      <w:pPr>
        <w:spacing w:after="300" w:line="276" w:lineRule="auto"/>
        <w:jc w:val="center"/>
      </w:pPr>
      <w:r>
        <w:rPr>
          <w:rFonts w:ascii="Times New Roman" w:eastAsia="Times New Roman" w:hAnsi="Times New Roman" w:cs="Times New Roman"/>
          <w:b/>
          <w:sz w:val="26"/>
        </w:rPr>
        <w:t>Chi tiết thủ tục hành chính</w:t>
      </w:r>
    </w:p>
    <w:p w:rsidR="00A9453D" w:rsidRDefault="00A3331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1.003197</w:t>
      </w:r>
    </w:p>
    <w:p w:rsidR="00A9453D" w:rsidRDefault="00A3331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rsidR="00A9453D" w:rsidRDefault="00A3331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Xóa đăng ký thường trú</w:t>
      </w:r>
    </w:p>
    <w:p w:rsidR="00A9453D" w:rsidRDefault="00A3331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A9453D" w:rsidRDefault="00A3331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9453D" w:rsidRDefault="00A3331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A9453D" w:rsidRDefault="00A33311">
      <w:pPr>
        <w:spacing w:after="0" w:line="276" w:lineRule="auto"/>
        <w:jc w:val="both"/>
      </w:pPr>
      <w:r>
        <w:rPr>
          <w:rFonts w:ascii="Times New Roman" w:eastAsia="Times New Roman" w:hAnsi="Times New Roman" w:cs="Times New Roman"/>
          <w:b/>
          <w:sz w:val="26"/>
        </w:rPr>
        <w:t xml:space="preserve">Trình tự thực hiện: </w:t>
      </w:r>
    </w:p>
    <w:p w:rsidR="00A9453D" w:rsidRDefault="00A9453D">
      <w:pPr>
        <w:shd w:val="clear" w:color="auto" w:fill="F2F6F9"/>
        <w:spacing w:before="120" w:after="0" w:line="276" w:lineRule="auto"/>
        <w:jc w:val="both"/>
      </w:pPr>
    </w:p>
    <w:p w:rsidR="00A9453D" w:rsidRDefault="00A33311">
      <w:pPr>
        <w:spacing w:after="0" w:line="276" w:lineRule="auto"/>
        <w:jc w:val="both"/>
      </w:pPr>
      <w:r>
        <w:rPr>
          <w:rFonts w:ascii="Times New Roman" w:eastAsia="Times New Roman" w:hAnsi="Times New Roman" w:cs="Times New Roman"/>
          <w:sz w:val="26"/>
        </w:rPr>
        <w:t>Bước 1: Cá nhân chuẩn bị hồ sơ theo quy định của pháp luật. Bước 2: Cá nhân nộp hồ sơ đến Công an cấp xã. Bước 3: Khi tiếp nhận hồ sơ xóa đăng ký thường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đầy đủ thành phần hồ sơ theo quy định của pháp luật thì hướng dẫn b</w:t>
      </w:r>
      <w:r>
        <w:rPr>
          <w:rFonts w:ascii="Times New Roman" w:eastAsia="Times New Roman" w:hAnsi="Times New Roman" w:cs="Times New Roman"/>
          <w:sz w:val="26"/>
        </w:rPr>
        <w:t>ổ sung, hoàn 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Bước 4: Căn cứ theo ngày hẹn trên Phiếu tiếp nhận hồ sơ và hẹn trả kết quả để nhận thông báo kết quả giải quyết thủ tục đăng ký cư trú (nếu có).</w:t>
      </w:r>
    </w:p>
    <w:p w:rsidR="00A9453D" w:rsidRDefault="00A3331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1"/>
        <w:gridCol w:w="902"/>
        <w:gridCol w:w="1042"/>
        <w:gridCol w:w="6696"/>
      </w:tblGrid>
      <w:tr w:rsidR="00A9453D">
        <w:tblPrEx>
          <w:tblCellMar>
            <w:top w:w="0" w:type="dxa"/>
            <w:bottom w:w="0" w:type="dxa"/>
          </w:tblCellMar>
        </w:tblPrEx>
        <w:tc>
          <w:tcPr>
            <w:tcW w:w="15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Hình thức nộp</w:t>
            </w:r>
          </w:p>
        </w:tc>
        <w:tc>
          <w:tcPr>
            <w:tcW w:w="2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Phí, lệ phí</w:t>
            </w:r>
          </w:p>
        </w:tc>
        <w:tc>
          <w:tcPr>
            <w:tcW w:w="3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Mô tả</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Trực tiếp</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05 Ngày làm việc</w:t>
            </w:r>
          </w:p>
        </w:tc>
        <w:tc>
          <w:tcPr>
            <w:tcW w:w="0" w:type="auto"/>
          </w:tcPr>
          <w:p w:rsidR="00A9453D" w:rsidRDefault="00A9453D"/>
          <w:p w:rsidR="00A9453D" w:rsidRDefault="00A9453D">
            <w:pPr>
              <w:spacing w:after="0" w:line="276" w:lineRule="auto"/>
            </w:pP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 xml:space="preserve">- Nộp hồ sơ trực tiếp tại Công an cấp xã.  </w:t>
            </w:r>
            <w:r>
              <w:rPr>
                <w:rFonts w:ascii="Times New Roman" w:eastAsia="Times New Roman" w:hAnsi="Times New Roman" w:cs="Times New Roman"/>
                <w:sz w:val="26"/>
              </w:rPr>
              <w:t>Thời gian tiếp nhận hồ sơ: Giờ hành chính các ngày làm việc từ thứ 2 đến thứ 6 và sáng thứ 7 hàng tuần (trừ các ngày nghỉ lễ, tết theo quy định của pháp luật).</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Trực tuyến</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 xml:space="preserve">05 Ngày làm </w:t>
            </w:r>
            <w:r>
              <w:rPr>
                <w:rFonts w:ascii="Times New Roman" w:eastAsia="Times New Roman" w:hAnsi="Times New Roman" w:cs="Times New Roman"/>
                <w:sz w:val="26"/>
              </w:rPr>
              <w:lastRenderedPageBreak/>
              <w:t>việc</w:t>
            </w:r>
          </w:p>
        </w:tc>
        <w:tc>
          <w:tcPr>
            <w:tcW w:w="0" w:type="auto"/>
          </w:tcPr>
          <w:p w:rsidR="00A9453D" w:rsidRDefault="00A9453D"/>
          <w:p w:rsidR="00A9453D" w:rsidRDefault="00A9453D">
            <w:pPr>
              <w:spacing w:after="0" w:line="276" w:lineRule="auto"/>
            </w:pP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 xml:space="preserve">- Nộp hồ sơ trực tuyến qua các cổng cung cấp dịch vụ công trực tuyến như: Trực tuyến qua Cổng dịch vụ công quốc gia, Cổng dịch vụ công Bộ Công an, ứng dụng VNeID hoặc dịch vụ công </w:t>
            </w:r>
            <w:r>
              <w:rPr>
                <w:rFonts w:ascii="Times New Roman" w:eastAsia="Times New Roman" w:hAnsi="Times New Roman" w:cs="Times New Roman"/>
                <w:sz w:val="26"/>
              </w:rPr>
              <w:lastRenderedPageBreak/>
              <w:t>trực tuyến khác theo quy định của pháp luật. Thời gian tiếp nhận hồ sơ: Giờ hành chính các ngày làm việc từ thứ 2 đến thứ 6 và sáng thứ 7 hàng tuần (trừ các ngày nghỉ lễ, tết theo quy định của pháp luật).</w:t>
            </w:r>
          </w:p>
        </w:tc>
      </w:tr>
    </w:tbl>
    <w:p w:rsidR="00A9453D" w:rsidRDefault="00A33311">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A9453D" w:rsidRDefault="00A3331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85"/>
        <w:gridCol w:w="1090"/>
        <w:gridCol w:w="936"/>
      </w:tblGrid>
      <w:tr w:rsidR="00A9453D">
        <w:tblPrEx>
          <w:tblCellMar>
            <w:top w:w="0" w:type="dxa"/>
            <w:bottom w:w="0" w:type="dxa"/>
          </w:tblCellMar>
        </w:tblPrEx>
        <w:tc>
          <w:tcPr>
            <w:tcW w:w="6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Tên giấy tờ</w:t>
            </w:r>
          </w:p>
        </w:tc>
        <w:tc>
          <w:tcPr>
            <w:tcW w:w="2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Mẫu đơn, tờ khai</w:t>
            </w:r>
          </w:p>
        </w:tc>
        <w:tc>
          <w:tcPr>
            <w:tcW w:w="2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Số lượng</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 Tờ khai thay đổi thông tin cư trú (Mẫu CT01 ban hành kèm theo Thông tư số 66/2023/TT-BCA);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Mẫu CT01 _66.doc</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Giấy tờ, tài liệu chứng minh thuộc một trong các trường hợp xóa đăng ký thường trú quy định tại Điều 24 Luật Cư trú; trừ trường hợp thông tin chứng minh thuộc trường hợp xóa đăng ký thường trú của công dân đã có trong Cơ sở dữ liệu chuyên ngành được kết nối, chia sẻ với cơ quan đăng ký cư trú thì cơ quan đăng ký cư trú tự kiểm tra, xác minh, không yêu cầu công dân phải cung cấp giấy tờ chứng minh.</w:t>
            </w:r>
          </w:p>
        </w:tc>
        <w:tc>
          <w:tcPr>
            <w:tcW w:w="0" w:type="auto"/>
          </w:tcPr>
          <w:p w:rsidR="00A9453D" w:rsidRDefault="00A9453D"/>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*Lưu ý: Việc nộp hồ sơ đăng ký cư trú - Trường hợp nộp hồ sơ trực tiếp tại cơ quan đăng ký cư trú thì người yêu cầu đăng ký cư trú có thể nộp bản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 bả</w:t>
            </w:r>
            <w:r>
              <w:rPr>
                <w:rFonts w:ascii="Times New Roman" w:eastAsia="Times New Roman" w:hAnsi="Times New Roman" w:cs="Times New Roman"/>
                <w:sz w:val="26"/>
              </w:rPr>
              <w:t xml:space="preserve">n chụp với bản chính và ký xác nhận, không được yêu cầu nộp bản sao giấy tờ đó. - Trường hợp thực hiện đăng ký cư trú trực tuyến, người yêu cầu 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w:t>
            </w:r>
            <w:r>
              <w:rPr>
                <w:rFonts w:ascii="Times New Roman" w:eastAsia="Times New Roman" w:hAnsi="Times New Roman" w:cs="Times New Roman"/>
                <w:sz w:val="26"/>
              </w:rPr>
              <w:lastRenderedPageBreak/>
              <w:t>dẫn nguồn tài liệu từ Kho quản lý dữ liệu điện tử của tổ chức, cá nhân.  Trường hợp công dân đăng tải bản quét, bản chụp giấy tờ, tài liệu mà khô</w:t>
            </w:r>
            <w:r>
              <w:rPr>
                <w:rFonts w:ascii="Times New Roman" w:eastAsia="Times New Roman" w:hAnsi="Times New Roman" w:cs="Times New Roman"/>
                <w:sz w:val="26"/>
              </w:rPr>
              <w:t xml:space="preserve">ng được ký số hoặc xác thực bằng hình thức khác thì khi cơ quan đăng ký cư trú tiến hành kiểm tra, xác minh để giải quyết thủ tục về cư trú; công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toàn </w:t>
            </w:r>
            <w:r>
              <w:rPr>
                <w:rFonts w:ascii="Times New Roman" w:eastAsia="Times New Roman" w:hAnsi="Times New Roman" w:cs="Times New Roman"/>
                <w:sz w:val="26"/>
              </w:rPr>
              <w:t>vẹn về nội dung; đã được hợp pháp hóa lãnh sự, dịch sang tiếng Việt theo quy định nếu là giấy tờ do cơ quan có thẩm quyền nước ngoài cấp trừ trường hợp được miễn hợp pháp hóa lãnh sự. - Trường hợp thông tin giấy tờ chứng minh điều kiện 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w:t>
            </w:r>
          </w:p>
        </w:tc>
        <w:tc>
          <w:tcPr>
            <w:tcW w:w="0" w:type="auto"/>
          </w:tcPr>
          <w:p w:rsidR="00A9453D" w:rsidRDefault="00A9453D"/>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A9453D" w:rsidRDefault="00A3331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w:t>
      </w:r>
    </w:p>
    <w:p w:rsidR="00A9453D" w:rsidRDefault="00A3331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A9453D" w:rsidRDefault="00A3331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A9453D" w:rsidRDefault="00A3331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rsidR="00A9453D" w:rsidRDefault="00A3331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9453D" w:rsidRDefault="00A3331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9453D" w:rsidRDefault="00A3331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w:t>
      </w:r>
    </w:p>
    <w:p w:rsidR="00A9453D" w:rsidRDefault="00A3331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A9453D">
        <w:tblPrEx>
          <w:tblCellMar>
            <w:top w:w="0" w:type="dxa"/>
            <w:bottom w:w="0" w:type="dxa"/>
          </w:tblCellMar>
        </w:tblPrEx>
        <w:tc>
          <w:tcPr>
            <w:tcW w:w="2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Số ký hiệu</w:t>
            </w:r>
          </w:p>
        </w:tc>
        <w:tc>
          <w:tcPr>
            <w:tcW w:w="35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Trích yếu</w:t>
            </w:r>
          </w:p>
        </w:tc>
        <w:tc>
          <w:tcPr>
            <w:tcW w:w="15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Ngày ban hành</w:t>
            </w:r>
          </w:p>
        </w:tc>
        <w:tc>
          <w:tcPr>
            <w:tcW w:w="3000" w:type="dxa"/>
          </w:tcPr>
          <w:p w:rsidR="00A9453D" w:rsidRDefault="00A9453D"/>
          <w:p w:rsidR="00A9453D" w:rsidRDefault="00A33311">
            <w:pPr>
              <w:spacing w:after="0" w:line="276" w:lineRule="auto"/>
              <w:jc w:val="center"/>
            </w:pPr>
            <w:r>
              <w:rPr>
                <w:rFonts w:ascii="Times New Roman" w:eastAsia="Times New Roman" w:hAnsi="Times New Roman" w:cs="Times New Roman"/>
                <w:b/>
                <w:sz w:val="26"/>
              </w:rPr>
              <w:t>Cơ quan ban hành</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68/2020/QH14</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Luật 68/2020/QH14</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13-11-2020</w:t>
            </w:r>
          </w:p>
        </w:tc>
        <w:tc>
          <w:tcPr>
            <w:tcW w:w="0" w:type="auto"/>
          </w:tcPr>
          <w:p w:rsidR="00A9453D" w:rsidRDefault="00A9453D"/>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55/2021/TT-BCA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Thông tư 55/2021/TT-BCA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15-05-2021</w:t>
            </w:r>
          </w:p>
        </w:tc>
        <w:tc>
          <w:tcPr>
            <w:tcW w:w="0" w:type="auto"/>
          </w:tcPr>
          <w:p w:rsidR="00A9453D" w:rsidRDefault="00A9453D"/>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56/2021/TT-BCA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Thông tư 56/2021/TT-BCA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15-05-2021</w:t>
            </w:r>
          </w:p>
        </w:tc>
        <w:tc>
          <w:tcPr>
            <w:tcW w:w="0" w:type="auto"/>
          </w:tcPr>
          <w:p w:rsidR="00A9453D" w:rsidRDefault="00A9453D"/>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57/2021/TT-BCA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Thông tư 57/2021/TT-BCA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15-05-2021</w:t>
            </w:r>
          </w:p>
        </w:tc>
        <w:tc>
          <w:tcPr>
            <w:tcW w:w="0" w:type="auto"/>
          </w:tcPr>
          <w:p w:rsidR="00A9453D" w:rsidRDefault="00A9453D"/>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66/2023/TT-BCA</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17-11-2023</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Bộ Công an</w:t>
            </w:r>
          </w:p>
        </w:tc>
      </w:tr>
      <w:tr w:rsidR="00A9453D">
        <w:tblPrEx>
          <w:tblCellMar>
            <w:top w:w="0" w:type="dxa"/>
            <w:bottom w:w="0" w:type="dxa"/>
          </w:tblCellMar>
        </w:tblPrEx>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154/2024/NĐ-CP</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26-11-2024</w:t>
            </w:r>
          </w:p>
        </w:tc>
        <w:tc>
          <w:tcPr>
            <w:tcW w:w="0" w:type="auto"/>
          </w:tcPr>
          <w:p w:rsidR="00A9453D" w:rsidRDefault="00A9453D"/>
          <w:p w:rsidR="00A9453D" w:rsidRDefault="00A33311">
            <w:pPr>
              <w:spacing w:after="0" w:line="276" w:lineRule="auto"/>
            </w:pPr>
            <w:r>
              <w:rPr>
                <w:rFonts w:ascii="Times New Roman" w:eastAsia="Times New Roman" w:hAnsi="Times New Roman" w:cs="Times New Roman"/>
                <w:sz w:val="26"/>
              </w:rPr>
              <w:t>Chính phủ</w:t>
            </w:r>
          </w:p>
        </w:tc>
      </w:tr>
    </w:tbl>
    <w:p w:rsidR="00A9453D" w:rsidRDefault="00A3331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Trong thời hạn 07 ngày kể từ ngày hộ gia đình có người thuộc diện xóa đăng ký thường trú thì người thuộc diện xóa đăng ký thường trú hoặc đại diện hộ gia đình có trách nhiệm nộp hồ sơ làm thủ tục xóa đăng ký thường trú đến cơ quan đăng ký cư trú. - Trường hợp người thuộc diện xóa đăng ký thường trú hoặc đại diện hộ gia đình không thực hiện thủ tục xóa đăng ký thường trú thì cơ quan đăng ký cư trú có trách nhiệm kiểm tra, xác minh, lập biên bản về việc công dân, đại diện hộ gia đình không thực hiện thủ tục</w:t>
      </w:r>
      <w:r>
        <w:rPr>
          <w:rFonts w:ascii="Times New Roman" w:eastAsia="Times New Roman" w:hAnsi="Times New Roman" w:cs="Times New Roman"/>
          <w:sz w:val="26"/>
        </w:rPr>
        <w:t xml:space="preserve"> xóa đăng ký thường trú và thực hiện xóa đăng ký thường trú đối với công dân.  - Cơ quan, đơn vị quản lý người học tập, công tác, làm việc trong lực lượng vũ trang nhân dân có văn bản đề nghị cơ quan đăng ký cư trú trên địa bàn đóng quân xóa đăng ký thường trú đối với người thuộc đơn vị mình quản lý. Văn bản đề nghị cần nêu rõ họ, chữ đệm và tên khai sinh; ngày, tháng, năm sinh; số định danh cá nhân hoặc chứng minh nhân dân 09 số của người thuộc trường hợp xóa đăng ký thường trú; lý do đề nghị xóa đăng ký t</w:t>
      </w:r>
      <w:r>
        <w:rPr>
          <w:rFonts w:ascii="Times New Roman" w:eastAsia="Times New Roman" w:hAnsi="Times New Roman" w:cs="Times New Roman"/>
          <w:sz w:val="26"/>
        </w:rPr>
        <w:t>hường trú.</w:t>
      </w:r>
    </w:p>
    <w:p w:rsidR="00A9453D" w:rsidRDefault="00A3331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Xóa đăng ký thường trú</w:t>
      </w:r>
    </w:p>
    <w:p w:rsidR="00A9453D" w:rsidRDefault="00A3331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https://thutuc.dichvucong.gov.vn/p/home/dvc-tthc-thu-tuc-hanh-chinh-chi-tiet.html?ma_thu_tuc=4531</w:t>
      </w:r>
    </w:p>
    <w:sectPr w:rsidR="00A9453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453D"/>
    <w:rsid w:val="008E113F"/>
    <w:rsid w:val="00A33311"/>
    <w:rsid w:val="00A94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3D98CA-E326-4D4C-AFCD-7D56FC10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2025-11-24T08:31:00Z</dcterms:created>
  <dcterms:modified xsi:type="dcterms:W3CDTF">2025-11-24T08:31:00Z</dcterms:modified>
</cp:coreProperties>
</file>