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0A43" w:rsidRDefault="00AD2747">
      <w:pPr>
        <w:spacing w:after="300" w:line="276" w:lineRule="auto"/>
        <w:jc w:val="center"/>
      </w:pPr>
      <w:r>
        <w:rPr>
          <w:rFonts w:ascii="Times New Roman" w:eastAsia="Times New Roman" w:hAnsi="Times New Roman" w:cs="Times New Roman"/>
          <w:b/>
          <w:sz w:val="26"/>
        </w:rPr>
        <w:t>Chi tiết thủ tục hành chính</w:t>
      </w:r>
    </w:p>
    <w:p w:rsidR="005B0A43" w:rsidRDefault="00AD274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1.003290</w:t>
      </w:r>
    </w:p>
    <w:p w:rsidR="005B0A43" w:rsidRDefault="00AD274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6968/QĐ-BCA</w:t>
      </w:r>
    </w:p>
    <w:p w:rsidR="005B0A43" w:rsidRDefault="00AD274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thẻ thường trú cho người nước ngoài tại Việt Nam (thực hiện tại cấp Trung ương)</w:t>
      </w:r>
    </w:p>
    <w:p w:rsidR="005B0A43" w:rsidRDefault="00AD274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5B0A43" w:rsidRDefault="00AD274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5B0A43" w:rsidRDefault="00AD274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5B0A43" w:rsidRDefault="00AD2747">
      <w:pPr>
        <w:spacing w:after="0" w:line="276" w:lineRule="auto"/>
        <w:jc w:val="both"/>
      </w:pPr>
      <w:r>
        <w:rPr>
          <w:rFonts w:ascii="Times New Roman" w:eastAsia="Times New Roman" w:hAnsi="Times New Roman" w:cs="Times New Roman"/>
          <w:b/>
          <w:sz w:val="26"/>
        </w:rPr>
        <w:t xml:space="preserve">Trình tự thực hiện: </w:t>
      </w:r>
    </w:p>
    <w:p w:rsidR="005B0A43" w:rsidRDefault="005B0A43">
      <w:pPr>
        <w:shd w:val="clear" w:color="auto" w:fill="F2F6F9"/>
        <w:spacing w:before="120" w:after="0" w:line="276" w:lineRule="auto"/>
        <w:jc w:val="both"/>
      </w:pPr>
    </w:p>
    <w:p w:rsidR="005B0A43" w:rsidRDefault="00AD2747">
      <w:pPr>
        <w:spacing w:after="0" w:line="276" w:lineRule="auto"/>
        <w:jc w:val="both"/>
      </w:pPr>
      <w:r>
        <w:rPr>
          <w:rFonts w:ascii="Times New Roman" w:eastAsia="Times New Roman" w:hAnsi="Times New Roman" w:cs="Times New Roman"/>
          <w:sz w:val="26"/>
        </w:rPr>
        <w:t>Bước 1: Chuẩn bị hồ sơ theo quy định của pháp luật.</w:t>
      </w:r>
    </w:p>
    <w:p w:rsidR="005B0A43" w:rsidRDefault="00AD2747">
      <w:pPr>
        <w:spacing w:after="0" w:line="276" w:lineRule="auto"/>
        <w:jc w:val="both"/>
      </w:pPr>
      <w:r>
        <w:rPr>
          <w:rFonts w:ascii="Times New Roman" w:eastAsia="Times New Roman" w:hAnsi="Times New Roman" w:cs="Times New Roman"/>
          <w:sz w:val="26"/>
        </w:rPr>
        <w:t>Bước 2: Nộp hồ sơ tại một trong hai trụ sở của Cục Quản lý xuất nhập cảnh - Bộ Công an: + Số 44-46 đường Trần Phú, quận Ba Đình, thành phố Hà Nội. + Số 333-335-337 đường Nguyễn Trãi, Quận 1, Thành phố Hồ Chí Minh. * Cán bộ tiếp nhận hồ sơ kiểm tra tính pháp lý và nội dung hồ sơ:  + Nếu hồ sơ đầy đủ, hợp lệ thì tiếp nhận hồ sơ, in và cấp giấy hẹn trả kết quả cho người nộp hồ sơ; yêu cầu nộp phí cho cán bộ thu phí. Cán bộ thu phí thu tiền, giao biên lai thu tiền cho người nộp hồ sơ. + Nếu hồ sơ</w:t>
      </w:r>
      <w:r>
        <w:rPr>
          <w:rFonts w:ascii="Times New Roman" w:eastAsia="Times New Roman" w:hAnsi="Times New Roman" w:cs="Times New Roman"/>
          <w:sz w:val="26"/>
        </w:rPr>
        <w:t xml:space="preserve"> hồ sơ thiếu hoặc không hợp lệ thì cán bộ tiếp nhận hồ sơ hướng dẫn để người nộp hồ sơ hoàn chỉnh. * Thời gian tiếp nhận hồ sơ: Từ thứ 2 đến sáng thứ 7 hàng tuần (trừ ngày Tết, ngày lễ).</w:t>
      </w:r>
    </w:p>
    <w:p w:rsidR="005B0A43" w:rsidRDefault="00AD2747">
      <w:pPr>
        <w:spacing w:after="0" w:line="276" w:lineRule="auto"/>
        <w:jc w:val="both"/>
      </w:pPr>
      <w:r>
        <w:rPr>
          <w:rFonts w:ascii="Times New Roman" w:eastAsia="Times New Roman" w:hAnsi="Times New Roman" w:cs="Times New Roman"/>
          <w:sz w:val="26"/>
        </w:rPr>
        <w:t>Bước 3: Cục Quản lý xuất nhập cảnh thông báo bằng văn bản quyết định của Bộ trưởng Bộ Công an về việc người nước ngoài xin thường trú.  Nếu được chấp nhận, trong thời hạn 05 ngày làm việc kể từ ngày nhận được thông báo của Cục Quản lý xuất nhập cảnh, Công an tỉnh, thành phố trực thuộc trung ương nơi người nước ngoài xin thường trú thông báo người nước ngoài được giải quyết cho thường trú.</w:t>
      </w:r>
    </w:p>
    <w:p w:rsidR="005B0A43" w:rsidRDefault="00AD2747">
      <w:pPr>
        <w:spacing w:after="0" w:line="276" w:lineRule="auto"/>
        <w:jc w:val="both"/>
      </w:pPr>
      <w:r>
        <w:rPr>
          <w:rFonts w:ascii="Times New Roman" w:eastAsia="Times New Roman" w:hAnsi="Times New Roman" w:cs="Times New Roman"/>
          <w:sz w:val="26"/>
        </w:rPr>
        <w:t>Bước 4: Trong thời hạn 03 tháng kể từ khi nhận được thông báo giải quyết cho thường trú, người nước ngoài phải đến cơ quan quản lý xuất nhập cảnh Công an tỉnh, thành phố trực thuộc trung ương nơi xin thường trú để nhận thẻ thường trú:  Người nhận đưa giấy biên nhận, biên lai thu tiền để đối chiếu. Cán bộ trả kết quả kiểm tra và yêu cầu ký nhận, trả thẻ thường trú cho người đến nhận kết quả.  * Thời gian trả kết quả: Từ thứ 2 đến thứ 6 hàng tuần (trừ ngày Tết, ngày lễ).</w:t>
      </w:r>
    </w:p>
    <w:p w:rsidR="005B0A43" w:rsidRDefault="00AD274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
        <w:gridCol w:w="934"/>
        <w:gridCol w:w="1547"/>
        <w:gridCol w:w="6172"/>
      </w:tblGrid>
      <w:tr w:rsidR="005B0A43">
        <w:tblPrEx>
          <w:tblCellMar>
            <w:top w:w="0" w:type="dxa"/>
            <w:bottom w:w="0" w:type="dxa"/>
          </w:tblCellMar>
        </w:tblPrEx>
        <w:tc>
          <w:tcPr>
            <w:tcW w:w="1500" w:type="dxa"/>
          </w:tcPr>
          <w:p w:rsidR="005B0A43" w:rsidRDefault="005B0A43"/>
          <w:p w:rsidR="005B0A43" w:rsidRDefault="00AD2747">
            <w:pPr>
              <w:spacing w:after="0" w:line="276" w:lineRule="auto"/>
              <w:jc w:val="center"/>
            </w:pPr>
            <w:r>
              <w:rPr>
                <w:rFonts w:ascii="Times New Roman" w:eastAsia="Times New Roman" w:hAnsi="Times New Roman" w:cs="Times New Roman"/>
                <w:b/>
                <w:sz w:val="26"/>
              </w:rPr>
              <w:t>Hình thức nộp</w:t>
            </w:r>
          </w:p>
        </w:tc>
        <w:tc>
          <w:tcPr>
            <w:tcW w:w="2000" w:type="dxa"/>
          </w:tcPr>
          <w:p w:rsidR="005B0A43" w:rsidRDefault="005B0A43"/>
          <w:p w:rsidR="005B0A43" w:rsidRDefault="00AD274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5B0A43" w:rsidRDefault="005B0A43"/>
          <w:p w:rsidR="005B0A43" w:rsidRDefault="00AD2747">
            <w:pPr>
              <w:spacing w:after="0" w:line="276" w:lineRule="auto"/>
              <w:jc w:val="center"/>
            </w:pPr>
            <w:r>
              <w:rPr>
                <w:rFonts w:ascii="Times New Roman" w:eastAsia="Times New Roman" w:hAnsi="Times New Roman" w:cs="Times New Roman"/>
                <w:b/>
                <w:sz w:val="26"/>
              </w:rPr>
              <w:t>Phí, lệ phí</w:t>
            </w:r>
          </w:p>
        </w:tc>
        <w:tc>
          <w:tcPr>
            <w:tcW w:w="3000" w:type="dxa"/>
          </w:tcPr>
          <w:p w:rsidR="005B0A43" w:rsidRDefault="005B0A43"/>
          <w:p w:rsidR="005B0A43" w:rsidRDefault="00AD2747">
            <w:pPr>
              <w:spacing w:after="0" w:line="276" w:lineRule="auto"/>
              <w:jc w:val="center"/>
            </w:pPr>
            <w:r>
              <w:rPr>
                <w:rFonts w:ascii="Times New Roman" w:eastAsia="Times New Roman" w:hAnsi="Times New Roman" w:cs="Times New Roman"/>
                <w:b/>
                <w:sz w:val="26"/>
              </w:rPr>
              <w:t>Mô tả</w:t>
            </w:r>
          </w:p>
        </w:tc>
      </w:tr>
      <w:tr w:rsidR="005B0A43">
        <w:tblPrEx>
          <w:tblCellMar>
            <w:top w:w="0" w:type="dxa"/>
            <w:bottom w:w="0" w:type="dxa"/>
          </w:tblCellMar>
        </w:tblPrEx>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lastRenderedPageBreak/>
              <w:t>Trực tiếp</w:t>
            </w:r>
          </w:p>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lastRenderedPageBreak/>
              <w:t>6 Tháng</w:t>
            </w:r>
          </w:p>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lastRenderedPageBreak/>
              <w:t>Lệ phí : 100 USD (100 USD/thẻ.)</w:t>
            </w:r>
          </w:p>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lastRenderedPageBreak/>
              <w:t xml:space="preserve">Trực tiếp nộp hồ sơ tại trụ sở Cục Quản lý xuất nhập cảnh, Bộ Công an.  </w:t>
            </w:r>
            <w:r>
              <w:rPr>
                <w:rFonts w:ascii="Times New Roman" w:eastAsia="Times New Roman" w:hAnsi="Times New Roman" w:cs="Times New Roman"/>
                <w:sz w:val="26"/>
              </w:rPr>
              <w:t>Trong thời hạn 04 tháng kể từ ngày nhận đủ hồ sơ, Bộ trưởng Bộ Công an xem xét, quyết định cho thường trú; trường hợp xét thấy cần phải thẩm tra bổ sung thì có thể kéo dài thêm nhưng không quá 02 tháng.</w:t>
            </w:r>
          </w:p>
        </w:tc>
      </w:tr>
    </w:tbl>
    <w:p w:rsidR="005B0A43" w:rsidRDefault="00AD2747">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5B0A43" w:rsidRDefault="00AD274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91"/>
        <w:gridCol w:w="2241"/>
        <w:gridCol w:w="979"/>
      </w:tblGrid>
      <w:tr w:rsidR="005B0A43">
        <w:tblPrEx>
          <w:tblCellMar>
            <w:top w:w="0" w:type="dxa"/>
            <w:bottom w:w="0" w:type="dxa"/>
          </w:tblCellMar>
        </w:tblPrEx>
        <w:tc>
          <w:tcPr>
            <w:tcW w:w="6000" w:type="dxa"/>
          </w:tcPr>
          <w:p w:rsidR="005B0A43" w:rsidRDefault="005B0A43"/>
          <w:p w:rsidR="005B0A43" w:rsidRDefault="00AD2747">
            <w:pPr>
              <w:spacing w:after="0" w:line="276" w:lineRule="auto"/>
              <w:jc w:val="center"/>
            </w:pPr>
            <w:r>
              <w:rPr>
                <w:rFonts w:ascii="Times New Roman" w:eastAsia="Times New Roman" w:hAnsi="Times New Roman" w:cs="Times New Roman"/>
                <w:b/>
                <w:sz w:val="26"/>
              </w:rPr>
              <w:t>Tên giấy tờ</w:t>
            </w:r>
          </w:p>
        </w:tc>
        <w:tc>
          <w:tcPr>
            <w:tcW w:w="2000" w:type="dxa"/>
          </w:tcPr>
          <w:p w:rsidR="005B0A43" w:rsidRDefault="005B0A43"/>
          <w:p w:rsidR="005B0A43" w:rsidRDefault="00AD2747">
            <w:pPr>
              <w:spacing w:after="0" w:line="276" w:lineRule="auto"/>
              <w:jc w:val="center"/>
            </w:pPr>
            <w:r>
              <w:rPr>
                <w:rFonts w:ascii="Times New Roman" w:eastAsia="Times New Roman" w:hAnsi="Times New Roman" w:cs="Times New Roman"/>
                <w:b/>
                <w:sz w:val="26"/>
              </w:rPr>
              <w:t>Mẫu đơn, tờ khai</w:t>
            </w:r>
          </w:p>
        </w:tc>
        <w:tc>
          <w:tcPr>
            <w:tcW w:w="2000" w:type="dxa"/>
          </w:tcPr>
          <w:p w:rsidR="005B0A43" w:rsidRDefault="005B0A43"/>
          <w:p w:rsidR="005B0A43" w:rsidRDefault="00AD2747">
            <w:pPr>
              <w:spacing w:after="0" w:line="276" w:lineRule="auto"/>
              <w:jc w:val="center"/>
            </w:pPr>
            <w:r>
              <w:rPr>
                <w:rFonts w:ascii="Times New Roman" w:eastAsia="Times New Roman" w:hAnsi="Times New Roman" w:cs="Times New Roman"/>
                <w:b/>
                <w:sz w:val="26"/>
              </w:rPr>
              <w:t>Số lượng</w:t>
            </w:r>
          </w:p>
        </w:tc>
      </w:tr>
      <w:tr w:rsidR="005B0A43">
        <w:tblPrEx>
          <w:tblCellMar>
            <w:top w:w="0" w:type="dxa"/>
            <w:bottom w:w="0" w:type="dxa"/>
          </w:tblCellMar>
        </w:tblPrEx>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Đơn xin thường trú (NA12) ban hành kèm theo Thông tư số 04/2015/TT-BCA ngày 05/01/2015 của Bộ Công an</w:t>
            </w:r>
          </w:p>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Mẫu-NA12,-Đơn-xin-thường-trú-cho-người-nước-ngoài.-doc.doc</w:t>
            </w:r>
          </w:p>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B0A43">
        <w:tblPrEx>
          <w:tblCellMar>
            <w:top w:w="0" w:type="dxa"/>
            <w:bottom w:w="0" w:type="dxa"/>
          </w:tblCellMar>
        </w:tblPrEx>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Lý lịch tư pháp do cơ quan có thẩm quyền của nước mà người đó là công dân cấp;</w:t>
            </w:r>
          </w:p>
        </w:tc>
        <w:tc>
          <w:tcPr>
            <w:tcW w:w="0" w:type="auto"/>
          </w:tcPr>
          <w:p w:rsidR="005B0A43" w:rsidRDefault="005B0A43"/>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B0A43">
        <w:tblPrEx>
          <w:tblCellMar>
            <w:top w:w="0" w:type="dxa"/>
            <w:bottom w:w="0" w:type="dxa"/>
          </w:tblCellMar>
        </w:tblPrEx>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Công hàm của cơ quan đại diện của nước mà người đó là công dân đề nghị Việt Nam giải quyết cho người đó thường trú;</w:t>
            </w:r>
          </w:p>
        </w:tc>
        <w:tc>
          <w:tcPr>
            <w:tcW w:w="0" w:type="auto"/>
          </w:tcPr>
          <w:p w:rsidR="005B0A43" w:rsidRDefault="005B0A43"/>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B0A43">
        <w:tblPrEx>
          <w:tblCellMar>
            <w:top w:w="0" w:type="dxa"/>
            <w:bottom w:w="0" w:type="dxa"/>
          </w:tblCellMar>
        </w:tblPrEx>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Bản sao hộ chiếu có chứng thực;</w:t>
            </w:r>
          </w:p>
        </w:tc>
        <w:tc>
          <w:tcPr>
            <w:tcW w:w="0" w:type="auto"/>
          </w:tcPr>
          <w:p w:rsidR="005B0A43" w:rsidRDefault="005B0A43"/>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5B0A43">
        <w:tblPrEx>
          <w:tblCellMar>
            <w:top w:w="0" w:type="dxa"/>
            <w:bottom w:w="0" w:type="dxa"/>
          </w:tblCellMar>
        </w:tblPrEx>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Giấy tờ chứng minh đủ điều kiện được xét cho thường trú quy định tại Điều 40 của Luật Nhập cảnh, xuất cảnh, quá cảnh, cư trú của người nước ngoài tại Việt Nam (Luật số 47/2014/QH13 ngày 16/6/2014);</w:t>
            </w:r>
          </w:p>
        </w:tc>
        <w:tc>
          <w:tcPr>
            <w:tcW w:w="0" w:type="auto"/>
          </w:tcPr>
          <w:p w:rsidR="005B0A43" w:rsidRDefault="005B0A43"/>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B0A43">
        <w:tblPrEx>
          <w:tblCellMar>
            <w:top w:w="0" w:type="dxa"/>
            <w:bottom w:w="0" w:type="dxa"/>
          </w:tblCellMar>
        </w:tblPrEx>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Giấy bảo lãnh đối với người nước ngoài quy định tại khoản 1, khoản 2 Điều 39 của Luật Nhập cảnh, xuất cảnh, quá cảnh, cư trú của người nước ngoài tại Việt Nam (Luật số 47/2014/QH13 ngày 16/6/2014).</w:t>
            </w:r>
          </w:p>
        </w:tc>
        <w:tc>
          <w:tcPr>
            <w:tcW w:w="0" w:type="auto"/>
          </w:tcPr>
          <w:p w:rsidR="005B0A43" w:rsidRDefault="005B0A43"/>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B0A43">
        <w:tblPrEx>
          <w:tblCellMar>
            <w:top w:w="0" w:type="dxa"/>
            <w:bottom w:w="0" w:type="dxa"/>
          </w:tblCellMar>
        </w:tblPrEx>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 Số lượng hồ sơ: 01 (một) bộ.</w:t>
            </w:r>
          </w:p>
        </w:tc>
        <w:tc>
          <w:tcPr>
            <w:tcW w:w="0" w:type="auto"/>
          </w:tcPr>
          <w:p w:rsidR="005B0A43" w:rsidRDefault="005B0A43"/>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5B0A43" w:rsidRDefault="00AD274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w:t>
      </w:r>
    </w:p>
    <w:p w:rsidR="005B0A43" w:rsidRDefault="00AD274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Cục quản lý xuất nhập cảnh</w:t>
      </w:r>
    </w:p>
    <w:p w:rsidR="005B0A43" w:rsidRDefault="00AD274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Cục quản lý xuất nhập cảnh</w:t>
      </w:r>
    </w:p>
    <w:p w:rsidR="005B0A43" w:rsidRDefault="00AD274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Quản lý xuất nhập cảnh, Bộ Công an.</w:t>
      </w:r>
    </w:p>
    <w:p w:rsidR="005B0A43" w:rsidRDefault="00AD274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5B0A43" w:rsidRDefault="00AD274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5B0A43" w:rsidRDefault="00AD274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thường trú</w:t>
      </w:r>
    </w:p>
    <w:p w:rsidR="005B0A43" w:rsidRDefault="00AD274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8"/>
        <w:gridCol w:w="3305"/>
        <w:gridCol w:w="1408"/>
        <w:gridCol w:w="2754"/>
      </w:tblGrid>
      <w:tr w:rsidR="005B0A43">
        <w:tblPrEx>
          <w:tblCellMar>
            <w:top w:w="0" w:type="dxa"/>
            <w:bottom w:w="0" w:type="dxa"/>
          </w:tblCellMar>
        </w:tblPrEx>
        <w:tc>
          <w:tcPr>
            <w:tcW w:w="2000" w:type="dxa"/>
          </w:tcPr>
          <w:p w:rsidR="005B0A43" w:rsidRDefault="005B0A43"/>
          <w:p w:rsidR="005B0A43" w:rsidRDefault="00AD2747">
            <w:pPr>
              <w:spacing w:after="0" w:line="276" w:lineRule="auto"/>
              <w:jc w:val="center"/>
            </w:pPr>
            <w:r>
              <w:rPr>
                <w:rFonts w:ascii="Times New Roman" w:eastAsia="Times New Roman" w:hAnsi="Times New Roman" w:cs="Times New Roman"/>
                <w:b/>
                <w:sz w:val="26"/>
              </w:rPr>
              <w:t>Số ký hiệu</w:t>
            </w:r>
          </w:p>
        </w:tc>
        <w:tc>
          <w:tcPr>
            <w:tcW w:w="3500" w:type="dxa"/>
          </w:tcPr>
          <w:p w:rsidR="005B0A43" w:rsidRDefault="005B0A43"/>
          <w:p w:rsidR="005B0A43" w:rsidRDefault="00AD2747">
            <w:pPr>
              <w:spacing w:after="0" w:line="276" w:lineRule="auto"/>
              <w:jc w:val="center"/>
            </w:pPr>
            <w:r>
              <w:rPr>
                <w:rFonts w:ascii="Times New Roman" w:eastAsia="Times New Roman" w:hAnsi="Times New Roman" w:cs="Times New Roman"/>
                <w:b/>
                <w:sz w:val="26"/>
              </w:rPr>
              <w:t>Trích yếu</w:t>
            </w:r>
          </w:p>
        </w:tc>
        <w:tc>
          <w:tcPr>
            <w:tcW w:w="1500" w:type="dxa"/>
          </w:tcPr>
          <w:p w:rsidR="005B0A43" w:rsidRDefault="005B0A43"/>
          <w:p w:rsidR="005B0A43" w:rsidRDefault="00AD2747">
            <w:pPr>
              <w:spacing w:after="0" w:line="276" w:lineRule="auto"/>
              <w:jc w:val="center"/>
            </w:pPr>
            <w:r>
              <w:rPr>
                <w:rFonts w:ascii="Times New Roman" w:eastAsia="Times New Roman" w:hAnsi="Times New Roman" w:cs="Times New Roman"/>
                <w:b/>
                <w:sz w:val="26"/>
              </w:rPr>
              <w:t>Ngày ban hành</w:t>
            </w:r>
          </w:p>
        </w:tc>
        <w:tc>
          <w:tcPr>
            <w:tcW w:w="3000" w:type="dxa"/>
          </w:tcPr>
          <w:p w:rsidR="005B0A43" w:rsidRDefault="005B0A43"/>
          <w:p w:rsidR="005B0A43" w:rsidRDefault="00AD2747">
            <w:pPr>
              <w:spacing w:after="0" w:line="276" w:lineRule="auto"/>
              <w:jc w:val="center"/>
            </w:pPr>
            <w:r>
              <w:rPr>
                <w:rFonts w:ascii="Times New Roman" w:eastAsia="Times New Roman" w:hAnsi="Times New Roman" w:cs="Times New Roman"/>
                <w:b/>
                <w:sz w:val="26"/>
              </w:rPr>
              <w:t>Cơ quan ban hành</w:t>
            </w:r>
          </w:p>
        </w:tc>
      </w:tr>
      <w:tr w:rsidR="005B0A43">
        <w:tblPrEx>
          <w:tblCellMar>
            <w:top w:w="0" w:type="dxa"/>
            <w:bottom w:w="0" w:type="dxa"/>
          </w:tblCellMar>
        </w:tblPrEx>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47/2014/QH13</w:t>
            </w:r>
          </w:p>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Luật 47/2014/QH13</w:t>
            </w:r>
          </w:p>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16-06-2014</w:t>
            </w:r>
          </w:p>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Quốc Hội</w:t>
            </w:r>
          </w:p>
        </w:tc>
      </w:tr>
      <w:tr w:rsidR="005B0A43">
        <w:tblPrEx>
          <w:tblCellMar>
            <w:top w:w="0" w:type="dxa"/>
            <w:bottom w:w="0" w:type="dxa"/>
          </w:tblCellMar>
        </w:tblPrEx>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04/2015/TT-BCA</w:t>
            </w:r>
          </w:p>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Thông tư 04/2015/TT-BCA</w:t>
            </w:r>
          </w:p>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05-01-2015</w:t>
            </w:r>
          </w:p>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Bộ Công an</w:t>
            </w:r>
          </w:p>
        </w:tc>
      </w:tr>
      <w:tr w:rsidR="005B0A43">
        <w:tblPrEx>
          <w:tblCellMar>
            <w:top w:w="0" w:type="dxa"/>
            <w:bottom w:w="0" w:type="dxa"/>
          </w:tblCellMar>
        </w:tblPrEx>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31/2015/TT-BCA</w:t>
            </w:r>
          </w:p>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Thông tư 31/2015/TT-BCA</w:t>
            </w:r>
          </w:p>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06-07-2015</w:t>
            </w:r>
          </w:p>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Bộ Công an</w:t>
            </w:r>
          </w:p>
        </w:tc>
      </w:tr>
      <w:tr w:rsidR="005B0A43">
        <w:tblPrEx>
          <w:tblCellMar>
            <w:top w:w="0" w:type="dxa"/>
            <w:bottom w:w="0" w:type="dxa"/>
          </w:tblCellMar>
        </w:tblPrEx>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51/2019/QH14</w:t>
            </w:r>
          </w:p>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Luật 51/2019/QH14</w:t>
            </w:r>
          </w:p>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25-11-2019</w:t>
            </w:r>
          </w:p>
        </w:tc>
        <w:tc>
          <w:tcPr>
            <w:tcW w:w="0" w:type="auto"/>
          </w:tcPr>
          <w:p w:rsidR="005B0A43" w:rsidRDefault="005B0A43"/>
        </w:tc>
      </w:tr>
      <w:tr w:rsidR="005B0A43">
        <w:tblPrEx>
          <w:tblCellMar>
            <w:top w:w="0" w:type="dxa"/>
            <w:bottom w:w="0" w:type="dxa"/>
          </w:tblCellMar>
        </w:tblPrEx>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25/2021/TT-BTC</w:t>
            </w:r>
          </w:p>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Thông tư 25/2021/TT-BTC</w:t>
            </w:r>
          </w:p>
        </w:tc>
        <w:tc>
          <w:tcPr>
            <w:tcW w:w="0" w:type="auto"/>
          </w:tcPr>
          <w:p w:rsidR="005B0A43" w:rsidRDefault="005B0A43"/>
          <w:p w:rsidR="005B0A43" w:rsidRDefault="00AD2747">
            <w:pPr>
              <w:spacing w:after="0" w:line="276" w:lineRule="auto"/>
            </w:pPr>
            <w:r>
              <w:rPr>
                <w:rFonts w:ascii="Times New Roman" w:eastAsia="Times New Roman" w:hAnsi="Times New Roman" w:cs="Times New Roman"/>
                <w:sz w:val="26"/>
              </w:rPr>
              <w:t>07-04-2021</w:t>
            </w:r>
          </w:p>
        </w:tc>
        <w:tc>
          <w:tcPr>
            <w:tcW w:w="0" w:type="auto"/>
          </w:tcPr>
          <w:p w:rsidR="005B0A43" w:rsidRDefault="005B0A43"/>
        </w:tc>
      </w:tr>
    </w:tbl>
    <w:p w:rsidR="005B0A43" w:rsidRDefault="00AD274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đảm bảo đúng các trường hợp và điều kiện cho thường trú theo quy định tại Luật Nhập cảnh, xuất cảnh, quá cảnh, cư trú của người nước ngoài tại Việt Nam; cụ thể là: * Các trường hợp được xét cho thường trú nộp hồ sơ tại Cục: + Người nước ngoài có công lao, đóng góp cho sự nghiệp xây dựng và bảo vệ Tổ quốc Việt Nam được nhà nước Việt Nam tặng huân chương hoặc danh hiệu vinh dự nhà nước. + Người nước ngoài là nhà khoa học, chuyên gia đang tạm trú tại Việt Nam. * Điều kiện xét cho thường trú:  + Người nước ngoà</w:t>
      </w:r>
      <w:r>
        <w:rPr>
          <w:rFonts w:ascii="Times New Roman" w:eastAsia="Times New Roman" w:hAnsi="Times New Roman" w:cs="Times New Roman"/>
          <w:sz w:val="26"/>
        </w:rPr>
        <w:t>i quy định tại các trường hợp nêu trên được xét cho thường trú nếu có chỗ ở hợp pháp và có thu nhập ổn định bảo đảm cuộc sống tại Việt Nam. + Người nước ngoài quy định là nhà khoa học, chuyên gia đang tạm trú tại Việt Nam phải được Bộ trưởng, Thủ trưởng cơ quan ngang bộ, cơ quan thuộc Chính phủ quản lý nhà nước về lĩnh vực chuyên môn của người đó đề nghị.</w:t>
      </w:r>
    </w:p>
    <w:p w:rsidR="005B0A43" w:rsidRDefault="00AD274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5B0A43" w:rsidRDefault="00AD274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https://thutuc.dichvucong.gov.vn/p/home/dvc-tthc-thu-tuc-hanh-chinh-chi-tiet.html?ma_thu_tuc=4668</w:t>
      </w:r>
    </w:p>
    <w:sectPr w:rsidR="005B0A4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B0A43"/>
    <w:rsid w:val="005B0A43"/>
    <w:rsid w:val="00775AAF"/>
    <w:rsid w:val="00AD2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A04B0F9-E156-4065-8EDF-2B7EC0CFB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771</Words>
  <Characters>4397</Characters>
  <Application>Microsoft Office Word</Application>
  <DocSecurity>0</DocSecurity>
  <Lines>36</Lines>
  <Paragraphs>10</Paragraphs>
  <ScaleCrop>false</ScaleCrop>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2025-11-24T08:32:00Z</dcterms:created>
  <dcterms:modified xsi:type="dcterms:W3CDTF">2025-11-24T08:32:00Z</dcterms:modified>
</cp:coreProperties>
</file>