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0FD4" w:rsidRDefault="00CB1CA8">
      <w:pPr>
        <w:spacing w:after="300" w:line="276" w:lineRule="auto"/>
        <w:jc w:val="center"/>
      </w:pPr>
      <w:r>
        <w:rPr>
          <w:rFonts w:ascii="Times New Roman" w:eastAsia="Times New Roman" w:hAnsi="Times New Roman" w:cs="Times New Roman"/>
          <w:b/>
          <w:sz w:val="26"/>
        </w:rPr>
        <w:t>Chi tiết thủ tục hành chính</w:t>
      </w:r>
    </w:p>
    <w:p w:rsidR="00260FD4" w:rsidRDefault="00CB1CA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1.003326</w:t>
      </w:r>
    </w:p>
    <w:p w:rsidR="00260FD4" w:rsidRDefault="00CB1CA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260FD4" w:rsidRDefault="00CB1CA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tạm trú cho người nước ngoài tại Việt Nam (thực hiện tại cấp Trung ương)</w:t>
      </w:r>
    </w:p>
    <w:p w:rsidR="00260FD4" w:rsidRDefault="00CB1CA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260FD4" w:rsidRDefault="00CB1CA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60FD4" w:rsidRDefault="00CB1CA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260FD4" w:rsidRDefault="00CB1CA8">
      <w:pPr>
        <w:spacing w:after="0" w:line="276" w:lineRule="auto"/>
        <w:jc w:val="both"/>
      </w:pPr>
      <w:r>
        <w:rPr>
          <w:rFonts w:ascii="Times New Roman" w:eastAsia="Times New Roman" w:hAnsi="Times New Roman" w:cs="Times New Roman"/>
          <w:b/>
          <w:sz w:val="26"/>
        </w:rPr>
        <w:t xml:space="preserve">Trình tự thực hiện: </w:t>
      </w:r>
    </w:p>
    <w:p w:rsidR="00260FD4" w:rsidRDefault="00260FD4">
      <w:pPr>
        <w:shd w:val="clear" w:color="auto" w:fill="F2F6F9"/>
        <w:spacing w:before="120" w:after="0" w:line="276" w:lineRule="auto"/>
        <w:jc w:val="both"/>
      </w:pPr>
    </w:p>
    <w:p w:rsidR="00260FD4" w:rsidRDefault="00CB1CA8">
      <w:pPr>
        <w:spacing w:after="0" w:line="276" w:lineRule="auto"/>
        <w:jc w:val="both"/>
      </w:pPr>
      <w:r>
        <w:rPr>
          <w:rFonts w:ascii="Times New Roman" w:eastAsia="Times New Roman" w:hAnsi="Times New Roman" w:cs="Times New Roman"/>
          <w:sz w:val="26"/>
        </w:rPr>
        <w:t>Bước 1: Chuẩn bị hồ sơ theo quy định của pháp luật.</w:t>
      </w:r>
    </w:p>
    <w:p w:rsidR="00260FD4" w:rsidRDefault="00CB1CA8">
      <w:pPr>
        <w:spacing w:after="0" w:line="276" w:lineRule="auto"/>
        <w:jc w:val="both"/>
      </w:pPr>
      <w:r>
        <w:rPr>
          <w:rFonts w:ascii="Times New Roman" w:eastAsia="Times New Roman" w:hAnsi="Times New Roman" w:cs="Times New Roman"/>
          <w:sz w:val="26"/>
        </w:rPr>
        <w:t>Bước 2: Nộp hồ sơ vào giờ hành chính các ngày làm việc trong tuần tại một trong hai trụ sở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trực tuyến (nếu có). * Cán bộ tiếp nh</w:t>
      </w:r>
      <w:r>
        <w:rPr>
          <w:rFonts w:ascii="Times New Roman" w:eastAsia="Times New Roman" w:hAnsi="Times New Roman" w:cs="Times New Roman"/>
          <w:sz w:val="26"/>
        </w:rPr>
        <w:t>ận hồ sơ kiểm tra tính pháp lý và nội dung hồ sơ:  + Nếu hồ sơ đầy đủ, hợp lệ thì tiếp nhận hồ sơ, in và cấp giấy hẹn trả kết quả cho người nộp hồ sơ; yêu cầu nộp phí cho cán bộ thu phí, cán bộ thu tiền giao biên lai thu tiền cho người đề nghị gia hạn tạm trú hoặc thông báo trên Cổng dịch vụ công quốc gia hoặc Cổng dịch vụ công Bộ Công an đề người đề nghị gia hạn tạm trú thanh toán trực tuyến và nhận biên lai điện tử.  + Nếu hồ sơ thiếu hoặc không hợp lệ thì cán bộ tiếp nhận hồ sơ hướ</w:t>
      </w:r>
      <w:r>
        <w:rPr>
          <w:rFonts w:ascii="Times New Roman" w:eastAsia="Times New Roman" w:hAnsi="Times New Roman" w:cs="Times New Roman"/>
          <w:sz w:val="26"/>
        </w:rPr>
        <w:t>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gia hạn tạm trú có thể đề nghị nhận kết quả qua dịch vụ bưu chính và phải trả phí dịch vụ chuyển phát. * Thời gian tiếp nhận hồ sơ: Từ thứ 2 đến sáng thứ</w:t>
      </w:r>
      <w:r>
        <w:rPr>
          <w:rFonts w:ascii="Times New Roman" w:eastAsia="Times New Roman" w:hAnsi="Times New Roman" w:cs="Times New Roman"/>
          <w:sz w:val="26"/>
        </w:rPr>
        <w:t xml:space="preserve"> 7 hàng tuần (trừ ngày Tết, ngày lễ).</w:t>
      </w:r>
    </w:p>
    <w:p w:rsidR="00260FD4" w:rsidRDefault="00CB1CA8">
      <w:pPr>
        <w:spacing w:after="0" w:line="276" w:lineRule="auto"/>
        <w:jc w:val="both"/>
      </w:pPr>
      <w:r>
        <w:rPr>
          <w:rFonts w:ascii="Times New Roman" w:eastAsia="Times New Roman" w:hAnsi="Times New Roman" w:cs="Times New Roman"/>
          <w:sz w:val="26"/>
        </w:rPr>
        <w:t>Bước 3: Nhận kết quả: + Người đề nghị gia hạn tạm trú trực tiếp nhận kết quả tại Cục Quản lý xuất nhập cảnh, Bộ Công an; khi đến nhận kết quả mang theo giấy hẹn trả kết quả, giấy tờ tùy thân, biên lai thu tiền để đối chiếu. Trường hợp đề nghị nhận kết quả qua dịch vụ bưu chính thực hiện theo hướng dẫn của cơ quan cung cấp dịch vụ bưu chính. + Trường hợp không đồng ý gia hạn tạm trú thì trả lời bằng văn bản hoặc thông báo trên Cổng dịch vụ công trực quốc gia hoặc Cổng dịch vụ công Bộ Công an và nêu rõ lý do.</w:t>
      </w:r>
      <w:r>
        <w:rPr>
          <w:rFonts w:ascii="Times New Roman" w:eastAsia="Times New Roman" w:hAnsi="Times New Roman" w:cs="Times New Roman"/>
          <w:sz w:val="26"/>
        </w:rPr>
        <w:t xml:space="preserve"> + Thời gian trả kết quả: Từ thứ 2 đến thứ 6 hàng tuần (trừ ngày Tết, ngày lễ).</w:t>
      </w:r>
    </w:p>
    <w:p w:rsidR="00260FD4" w:rsidRDefault="00CB1CA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02"/>
        <w:gridCol w:w="946"/>
        <w:gridCol w:w="1623"/>
        <w:gridCol w:w="5940"/>
      </w:tblGrid>
      <w:tr w:rsidR="00260FD4">
        <w:tblPrEx>
          <w:tblCellMar>
            <w:top w:w="0" w:type="dxa"/>
            <w:bottom w:w="0" w:type="dxa"/>
          </w:tblCellMar>
        </w:tblPrEx>
        <w:tc>
          <w:tcPr>
            <w:tcW w:w="15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Hình thức nộp</w:t>
            </w:r>
          </w:p>
        </w:tc>
        <w:tc>
          <w:tcPr>
            <w:tcW w:w="20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Phí, lệ phí</w:t>
            </w:r>
          </w:p>
        </w:tc>
        <w:tc>
          <w:tcPr>
            <w:tcW w:w="30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Mô tả</w:t>
            </w:r>
          </w:p>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Trực tiếp</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5 Ngày làm việc</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Lệ phí : 10 USD (10 USD/lần.)</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nộp hồ sơ trực tiếp tại trụ sở Cục Quản lý xuất nhập cảnh. không quá 05 ngày làm việc kể từ khi nhận đủ hồ sơ.</w:t>
            </w:r>
          </w:p>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Trực tuyến</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5 Ngày làm việc</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Lệ phí : 10 USD (10 USD/lần.)</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kể từ khi nhận đủ hồ sơ.</w:t>
            </w:r>
          </w:p>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Dịch vụ bưu chính</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5 Ngày làm việc</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Lệ phí : 10 USD (10 USD/lần.)</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khi nhận đủ hồ sơ.</w:t>
            </w:r>
          </w:p>
        </w:tc>
      </w:tr>
    </w:tbl>
    <w:p w:rsidR="00260FD4" w:rsidRDefault="00CB1CA8">
      <w:pPr>
        <w:spacing w:before="240" w:after="0" w:line="276" w:lineRule="auto"/>
        <w:jc w:val="both"/>
      </w:pPr>
      <w:r>
        <w:rPr>
          <w:rFonts w:ascii="Times New Roman" w:eastAsia="Times New Roman" w:hAnsi="Times New Roman" w:cs="Times New Roman"/>
          <w:b/>
          <w:sz w:val="26"/>
        </w:rPr>
        <w:t xml:space="preserve">Thành phần hồ sơ: </w:t>
      </w:r>
    </w:p>
    <w:p w:rsidR="00260FD4" w:rsidRDefault="00CB1CA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09"/>
        <w:gridCol w:w="1170"/>
        <w:gridCol w:w="932"/>
      </w:tblGrid>
      <w:tr w:rsidR="00260FD4">
        <w:tblPrEx>
          <w:tblCellMar>
            <w:top w:w="0" w:type="dxa"/>
            <w:bottom w:w="0" w:type="dxa"/>
          </w:tblCellMar>
        </w:tblPrEx>
        <w:tc>
          <w:tcPr>
            <w:tcW w:w="60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Tên giấy tờ</w:t>
            </w:r>
          </w:p>
        </w:tc>
        <w:tc>
          <w:tcPr>
            <w:tcW w:w="20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Mẫu đơn, tờ khai</w:t>
            </w:r>
          </w:p>
        </w:tc>
        <w:tc>
          <w:tcPr>
            <w:tcW w:w="20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Số lượng</w:t>
            </w:r>
          </w:p>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Hộ chiếu hoặc giấy tờ có giá trị đi lại quốc tế của người nước ngoài.</w:t>
            </w:r>
          </w:p>
        </w:tc>
        <w:tc>
          <w:tcPr>
            <w:tcW w:w="0" w:type="auto"/>
          </w:tcPr>
          <w:p w:rsidR="00260FD4" w:rsidRDefault="00260FD4"/>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Trường hợp nộp hồ sơ trực tuyến thì hộ chiếu hoặc giấy tờ có giá trị đi lại quốc tế của người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rsidR="00260FD4" w:rsidRDefault="00260FD4"/>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Tờ khai đề nghị cấp thị thực, gia hạn tạm trú (mẫu NA5) ban hành kèm theo Thông tư số 22/2023/TT-BCA ngày 30/6/2023.</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NA5.doc</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60FD4" w:rsidRDefault="00CB1CA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 Tổ chức nước ngoài</w:t>
      </w:r>
    </w:p>
    <w:p w:rsidR="00260FD4" w:rsidRDefault="00CB1CA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Cục quản lý xuất nhập cảnh</w:t>
      </w:r>
    </w:p>
    <w:p w:rsidR="00260FD4" w:rsidRDefault="00CB1CA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Cục quản lý xuất nhập cảnh</w:t>
      </w:r>
    </w:p>
    <w:p w:rsidR="00260FD4" w:rsidRDefault="00CB1CA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rsidR="00260FD4" w:rsidRDefault="00CB1CA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60FD4" w:rsidRDefault="00CB1CA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60FD4" w:rsidRDefault="00CB1CA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Gia hạn chứng nhận tạm trú</w:t>
      </w:r>
    </w:p>
    <w:p w:rsidR="00260FD4" w:rsidRDefault="00CB1CA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260FD4">
        <w:tblPrEx>
          <w:tblCellMar>
            <w:top w:w="0" w:type="dxa"/>
            <w:bottom w:w="0" w:type="dxa"/>
          </w:tblCellMar>
        </w:tblPrEx>
        <w:tc>
          <w:tcPr>
            <w:tcW w:w="20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Số ký hiệu</w:t>
            </w:r>
          </w:p>
        </w:tc>
        <w:tc>
          <w:tcPr>
            <w:tcW w:w="35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Trích yếu</w:t>
            </w:r>
          </w:p>
        </w:tc>
        <w:tc>
          <w:tcPr>
            <w:tcW w:w="15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Ngày ban hành</w:t>
            </w:r>
          </w:p>
        </w:tc>
        <w:tc>
          <w:tcPr>
            <w:tcW w:w="3000" w:type="dxa"/>
          </w:tcPr>
          <w:p w:rsidR="00260FD4" w:rsidRDefault="00260FD4"/>
          <w:p w:rsidR="00260FD4" w:rsidRDefault="00CB1CA8">
            <w:pPr>
              <w:spacing w:after="0" w:line="276" w:lineRule="auto"/>
              <w:jc w:val="center"/>
            </w:pPr>
            <w:r>
              <w:rPr>
                <w:rFonts w:ascii="Times New Roman" w:eastAsia="Times New Roman" w:hAnsi="Times New Roman" w:cs="Times New Roman"/>
                <w:b/>
                <w:sz w:val="26"/>
              </w:rPr>
              <w:t>Cơ quan ban hành</w:t>
            </w:r>
          </w:p>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47/2014/QH13</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Luật 47/2014/QH13</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16-06-2014</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Quốc Hội</w:t>
            </w:r>
          </w:p>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51/2019/QH14</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Luật 51/2019/QH14</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25-11-2019</w:t>
            </w:r>
          </w:p>
        </w:tc>
        <w:tc>
          <w:tcPr>
            <w:tcW w:w="0" w:type="auto"/>
          </w:tcPr>
          <w:p w:rsidR="00260FD4" w:rsidRDefault="00260FD4"/>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25/2021/TT-BTC</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Thông tư 25/2021/TT-BTC</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07-04-2021</w:t>
            </w:r>
          </w:p>
        </w:tc>
        <w:tc>
          <w:tcPr>
            <w:tcW w:w="0" w:type="auto"/>
          </w:tcPr>
          <w:p w:rsidR="00260FD4" w:rsidRDefault="00260FD4"/>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23/2023/QH15</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24-06-2023</w:t>
            </w:r>
          </w:p>
        </w:tc>
        <w:tc>
          <w:tcPr>
            <w:tcW w:w="0" w:type="auto"/>
          </w:tcPr>
          <w:p w:rsidR="00260FD4" w:rsidRDefault="00260FD4"/>
        </w:tc>
      </w:tr>
      <w:tr w:rsidR="00260FD4">
        <w:tblPrEx>
          <w:tblCellMar>
            <w:top w:w="0" w:type="dxa"/>
            <w:bottom w:w="0" w:type="dxa"/>
          </w:tblCellMar>
        </w:tblPrEx>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22/2023/TT-BCA</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Thông tư số 22/2023/TT-BCA</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30-06-2023</w:t>
            </w:r>
          </w:p>
        </w:tc>
        <w:tc>
          <w:tcPr>
            <w:tcW w:w="0" w:type="auto"/>
          </w:tcPr>
          <w:p w:rsidR="00260FD4" w:rsidRDefault="00260FD4"/>
          <w:p w:rsidR="00260FD4" w:rsidRDefault="00CB1CA8">
            <w:pPr>
              <w:spacing w:after="0" w:line="276" w:lineRule="auto"/>
            </w:pPr>
            <w:r>
              <w:rPr>
                <w:rFonts w:ascii="Times New Roman" w:eastAsia="Times New Roman" w:hAnsi="Times New Roman" w:cs="Times New Roman"/>
                <w:sz w:val="26"/>
              </w:rPr>
              <w:t>Bộ Công an</w:t>
            </w:r>
          </w:p>
        </w:tc>
      </w:tr>
    </w:tbl>
    <w:p w:rsidR="00260FD4" w:rsidRDefault="00CB1CA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đề nghị cấp, bổ sung, sửa đổi thị thực, gia hạn tạm trú cho người nước ngoài, người Việt Nam mang hộ chiếu nước ngoài đã có hồ sơ theo quy định tại khoản 2 Điều 16 Luật Nhập cảnh, xuất cảnh, quá cảnh, cư trú của người nước ngoài tại Việt Nam. +  Người nước ngoài, người Việt Nam mang hộ chiếu nước ngoài có hộ chiếu hợp lệ, có thị thực (trừ trường hợp miễn thị thực), chứng nhận tạm trú do cơ quan có thẩm quyền Việt Nam cấp, đang cư trú tại Việt Nam và không thuộc diện "chưa cho nhập cảnh Vi</w:t>
      </w:r>
      <w:r>
        <w:rPr>
          <w:rFonts w:ascii="Times New Roman" w:eastAsia="Times New Roman" w:hAnsi="Times New Roman" w:cs="Times New Roman"/>
          <w:sz w:val="26"/>
        </w:rPr>
        <w:t>ệt Nam" hoặc không thuộc diện “tạm hoãn xuất cảnh”.  + Công dân Việt Nam thường trú ở trong nước đề nghị cấp, bổ sung, sửa đổi thị thực, gia hạn tạm trú cho người nước ngoài, người Việt Nam mang hộ chiếu nước ngoài là người có quan hệ ông, bà, cha, mẹ, vợ, chồng, con, anh, chị, em ruột với người nước ngoài, người Việt Nam mang hộ chiếu nước ngoài (xuất trình giấy tờ chứng minh quan hệ) theo quy định tại điểm b khoản 1 Điều 45 Luật nhập cảnh, xuất cảnh, quá cảnh, cư trú của người nước ngoài tại Việt Nam.</w:t>
      </w:r>
    </w:p>
    <w:p w:rsidR="00260FD4" w:rsidRDefault="00CB1CA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60FD4" w:rsidRDefault="00CB1CA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https://thutuc.dichvucong.gov.vn/p/home/dvc-tthc-thu-tuc-hanh-chinh-chi-tiet.html?ma_thu_tuc=4725</w:t>
      </w:r>
    </w:p>
    <w:sectPr w:rsidR="00260FD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60FD4"/>
    <w:rsid w:val="00260FD4"/>
    <w:rsid w:val="006451C9"/>
    <w:rsid w:val="00CB1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B6B717-2030-41B2-87EF-F5C9651F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2025-11-24T08:32:00Z</dcterms:created>
  <dcterms:modified xsi:type="dcterms:W3CDTF">2025-11-24T08:32:00Z</dcterms:modified>
</cp:coreProperties>
</file>