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7F23" w:rsidRDefault="007948E9">
      <w:pPr>
        <w:spacing w:after="300" w:line="276" w:lineRule="auto"/>
        <w:jc w:val="center"/>
      </w:pPr>
      <w:r>
        <w:rPr>
          <w:rFonts w:ascii="Times New Roman" w:eastAsia="Times New Roman" w:hAnsi="Times New Roman" w:cs="Times New Roman"/>
          <w:b/>
          <w:sz w:val="26"/>
        </w:rPr>
        <w:t>Chi tiết thủ tục hành chính</w:t>
      </w:r>
    </w:p>
    <w:p w:rsidR="00127F23" w:rsidRDefault="007948E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1.003460</w:t>
      </w:r>
    </w:p>
    <w:p w:rsidR="00127F23" w:rsidRDefault="007948E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rsidR="00127F23" w:rsidRDefault="007948E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thẻ tạm trú cho người nước ngoài tại Việt Nam tại Công an cấp tỉnh</w:t>
      </w:r>
    </w:p>
    <w:p w:rsidR="00127F23" w:rsidRDefault="007948E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127F23" w:rsidRDefault="007948E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127F23" w:rsidRDefault="007948E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127F23" w:rsidRDefault="007948E9">
      <w:pPr>
        <w:spacing w:after="0" w:line="276" w:lineRule="auto"/>
        <w:jc w:val="both"/>
      </w:pPr>
      <w:r>
        <w:rPr>
          <w:rFonts w:ascii="Times New Roman" w:eastAsia="Times New Roman" w:hAnsi="Times New Roman" w:cs="Times New Roman"/>
          <w:b/>
          <w:sz w:val="26"/>
        </w:rPr>
        <w:t xml:space="preserve">Trình tự thực hiện: </w:t>
      </w:r>
    </w:p>
    <w:p w:rsidR="00127F23" w:rsidRDefault="00127F23">
      <w:pPr>
        <w:shd w:val="clear" w:color="auto" w:fill="F2F6F9"/>
        <w:spacing w:before="120" w:after="0" w:line="276" w:lineRule="auto"/>
        <w:jc w:val="both"/>
      </w:pPr>
    </w:p>
    <w:p w:rsidR="00127F23" w:rsidRDefault="007948E9">
      <w:pPr>
        <w:spacing w:after="0" w:line="276" w:lineRule="auto"/>
        <w:jc w:val="both"/>
      </w:pPr>
      <w:r>
        <w:rPr>
          <w:rFonts w:ascii="Times New Roman" w:eastAsia="Times New Roman" w:hAnsi="Times New Roman" w:cs="Times New Roman"/>
          <w:sz w:val="26"/>
        </w:rPr>
        <w:t>Bước 1: Chuẩn bị hồ sơ theo quy định của pháp luật.</w:t>
      </w:r>
    </w:p>
    <w:p w:rsidR="00127F23" w:rsidRDefault="007948E9">
      <w:pPr>
        <w:spacing w:after="0" w:line="276" w:lineRule="auto"/>
        <w:jc w:val="both"/>
      </w:pPr>
      <w:r>
        <w:rPr>
          <w:rFonts w:ascii="Times New Roman" w:eastAsia="Times New Roman" w:hAnsi="Times New Roman" w:cs="Times New Roman"/>
          <w:sz w:val="26"/>
        </w:rPr>
        <w:t>Bước 2: Nộp hồ sơ:   * Cơ quan, tổ chức, cá nhân mời, bảo lãnh trực tiếp nộp hồ sơ đề nghị cấp thẻ tạm trú cho người nước ngoài thuộc trường hợp quy định tại khoản 2 Điều 36 của Luật Nhập cảnh, xuất cảnh, quá cảnh, cư trú của người nước ngoài tại Việt Nam nộp hồ sơ tại Cơ quan Quản lý xuất nhập cảnh Công an cấp tỉnh nơi cơ quan, tổ chức mời, bảo lãnh đặt trụ sở hoặc nơi cá nhân mời, bảo lãnh cư trú.  Hoặc nộp hồ sơ trực tuyến qua Cổng dịch vụ công quốc gia hoặc Cổng dịch vụ công Bộ Công an và gửi bổ sung hồ</w:t>
      </w:r>
      <w:r>
        <w:rPr>
          <w:rFonts w:ascii="Times New Roman" w:eastAsia="Times New Roman" w:hAnsi="Times New Roman" w:cs="Times New Roman"/>
          <w:sz w:val="26"/>
        </w:rPr>
        <w:t xml:space="preserve"> sơ qua dịch vụ bưu chính công ích theo thông báo của Cục Quản lý xuất nhập cảnh trên Cổng dịch vụ công quốc gia hoặc Cổng dịch vụ công Bộ Công an (nếu có). * Cán bộ tiếp nhận hồ sơ kiểm tra tính pháp lý và nội dung hồ sơ:  + Nếu hồ sơ đầy đủ, hợp lệ thì tiếp nhận hồ sơ, in và cấp giấy hẹn trả kết quả cho người nộp hồ sơ; yêu cầu nộp phí cho cán bộ thu phí. Cán bộ thu phí thu tiền, giao biên lai thu tiền cho người đề nghị cấp thẻ tạm trú hoặc thông báo trên Cổng dịch vụ công quốc gia hoặc Cổn</w:t>
      </w:r>
      <w:r>
        <w:rPr>
          <w:rFonts w:ascii="Times New Roman" w:eastAsia="Times New Roman" w:hAnsi="Times New Roman" w:cs="Times New Roman"/>
          <w:sz w:val="26"/>
        </w:rPr>
        <w:t>g dịch vụ công Bộ Công an đề nghị đề nghị cấp thẻ tạm trú thanh toán trực tuyến và nhận biên lai điện tử. + Nếu hồ sơ thiếu hoặc không hợp lệ thì cán bộ tiếp nhận hồ sơ hướng dẫn hoặc thông báo trên Cổng dịch vụ công quốc gia hoặc Cổng dịch vụ công Bộ Công an để người nộp hồ sơ hoàn chỉnh. + Trường hợp không đủ điều kiện thị không tiếp nhận hồ sơ, trả lời vằng văn bản hoặc thông báo trên Cổng dịch vụ công quốc gia hoặc Cổng dịch vụ công Bộ Công an và nêu rõ lý do. * Thời gian tiếp nhận hồ sơ:</w:t>
      </w:r>
      <w:r>
        <w:rPr>
          <w:rFonts w:ascii="Times New Roman" w:eastAsia="Times New Roman" w:hAnsi="Times New Roman" w:cs="Times New Roman"/>
          <w:sz w:val="26"/>
        </w:rPr>
        <w:t xml:space="preserve"> Từ thứ 2 đến sáng thứ 7 hàng tuần (trừ ngày Tết, ngày lễ).</w:t>
      </w:r>
    </w:p>
    <w:p w:rsidR="00127F23" w:rsidRDefault="007948E9">
      <w:pPr>
        <w:spacing w:after="0" w:line="276" w:lineRule="auto"/>
        <w:jc w:val="both"/>
      </w:pPr>
      <w:r>
        <w:rPr>
          <w:rFonts w:ascii="Times New Roman" w:eastAsia="Times New Roman" w:hAnsi="Times New Roman" w:cs="Times New Roman"/>
          <w:sz w:val="26"/>
        </w:rPr>
        <w:t>Bước 3: trả kết quả. + Người đề nghị cấp thẻ tạm trú trực tiếp nhận kết quả tại Cơ quan Quản lý xuất nhập cảnh Công an cấp tỉnh. Khi đến nhận kết quả mang theo giấy hẹn trả kết quả, giấy tờ tùy thân, biên lai thu tiền để đối chiếu. Trường hợp đề nghị nhận kết quả qua dịch vụ bưu chính thì thực hiện theo hướng dẫn của cơ quan cung cấp dịch vụ bưu chính công ích. + Trường hợp chưa cấp thẻ tạm trú thì trả lời bằng văn bản hoặc thông báo trên Cổng dịch vụ công quốc gia hoặc Cổng dịch vụ công Bộ Công an và nêu r</w:t>
      </w:r>
      <w:r>
        <w:rPr>
          <w:rFonts w:ascii="Times New Roman" w:eastAsia="Times New Roman" w:hAnsi="Times New Roman" w:cs="Times New Roman"/>
          <w:sz w:val="26"/>
        </w:rPr>
        <w:t>õ lý do. + Thời gian trả kết quả: Từ thứ 2 đến thứ 6 hàng tuần (trừ ngày Tết, ngày lễ).</w:t>
      </w:r>
    </w:p>
    <w:p w:rsidR="00127F23" w:rsidRDefault="007948E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46"/>
        <w:gridCol w:w="889"/>
        <w:gridCol w:w="2520"/>
        <w:gridCol w:w="5156"/>
      </w:tblGrid>
      <w:tr w:rsidR="00127F23">
        <w:tblPrEx>
          <w:tblCellMar>
            <w:top w:w="0" w:type="dxa"/>
            <w:bottom w:w="0" w:type="dxa"/>
          </w:tblCellMar>
        </w:tblPrEx>
        <w:tc>
          <w:tcPr>
            <w:tcW w:w="1500" w:type="dxa"/>
          </w:tcPr>
          <w:p w:rsidR="00127F23" w:rsidRDefault="00127F23"/>
          <w:p w:rsidR="00127F23" w:rsidRDefault="007948E9">
            <w:pPr>
              <w:spacing w:after="0" w:line="276" w:lineRule="auto"/>
              <w:jc w:val="center"/>
            </w:pPr>
            <w:r>
              <w:rPr>
                <w:rFonts w:ascii="Times New Roman" w:eastAsia="Times New Roman" w:hAnsi="Times New Roman" w:cs="Times New Roman"/>
                <w:b/>
                <w:sz w:val="26"/>
              </w:rPr>
              <w:t>Hình thức nộp</w:t>
            </w:r>
          </w:p>
        </w:tc>
        <w:tc>
          <w:tcPr>
            <w:tcW w:w="2000" w:type="dxa"/>
          </w:tcPr>
          <w:p w:rsidR="00127F23" w:rsidRDefault="00127F23"/>
          <w:p w:rsidR="00127F23" w:rsidRDefault="007948E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127F23" w:rsidRDefault="00127F23"/>
          <w:p w:rsidR="00127F23" w:rsidRDefault="007948E9">
            <w:pPr>
              <w:spacing w:after="0" w:line="276" w:lineRule="auto"/>
              <w:jc w:val="center"/>
            </w:pPr>
            <w:r>
              <w:rPr>
                <w:rFonts w:ascii="Times New Roman" w:eastAsia="Times New Roman" w:hAnsi="Times New Roman" w:cs="Times New Roman"/>
                <w:b/>
                <w:sz w:val="26"/>
              </w:rPr>
              <w:t>Phí, lệ phí</w:t>
            </w:r>
          </w:p>
        </w:tc>
        <w:tc>
          <w:tcPr>
            <w:tcW w:w="3000" w:type="dxa"/>
          </w:tcPr>
          <w:p w:rsidR="00127F23" w:rsidRDefault="00127F23"/>
          <w:p w:rsidR="00127F23" w:rsidRDefault="007948E9">
            <w:pPr>
              <w:spacing w:after="0" w:line="276" w:lineRule="auto"/>
              <w:jc w:val="center"/>
            </w:pPr>
            <w:r>
              <w:rPr>
                <w:rFonts w:ascii="Times New Roman" w:eastAsia="Times New Roman" w:hAnsi="Times New Roman" w:cs="Times New Roman"/>
                <w:b/>
                <w:sz w:val="26"/>
              </w:rPr>
              <w:t>Mô tả</w:t>
            </w:r>
          </w:p>
        </w:tc>
      </w:tr>
      <w:tr w:rsidR="00127F23">
        <w:tblPrEx>
          <w:tblCellMar>
            <w:top w:w="0" w:type="dxa"/>
            <w:bottom w:w="0" w:type="dxa"/>
          </w:tblCellMar>
        </w:tblPrEx>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Trực tiếp</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5 Ngày làm việc</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Lệ phí : 155 USD</w:t>
            </w:r>
            <w:r>
              <w:rPr>
                <w:rFonts w:ascii="Times New Roman" w:eastAsia="Times New Roman" w:hAnsi="Times New Roman" w:cs="Times New Roman"/>
                <w:sz w:val="26"/>
              </w:rPr>
              <w:t xml:space="preserve"> (Thẻ tạm trú có thời hạn từ trên 02 năm đến 05 năm: 155 USD/thẻ.)</w:t>
            </w:r>
          </w:p>
          <w:p w:rsidR="00127F23" w:rsidRDefault="007948E9">
            <w:pPr>
              <w:spacing w:after="0" w:line="276" w:lineRule="auto"/>
            </w:pPr>
            <w:r>
              <w:rPr>
                <w:rFonts w:ascii="Times New Roman" w:eastAsia="Times New Roman" w:hAnsi="Times New Roman" w:cs="Times New Roman"/>
                <w:sz w:val="26"/>
              </w:rPr>
              <w:t>Lệ phí : 165 USD (Thẻ tạm trú có thời hạn từ trên 05 năm đến 10 năm: 165 USD/thẻ.)</w:t>
            </w:r>
          </w:p>
          <w:p w:rsidR="00127F23" w:rsidRDefault="007948E9">
            <w:pPr>
              <w:spacing w:after="0" w:line="276" w:lineRule="auto"/>
            </w:pPr>
            <w:r>
              <w:rPr>
                <w:rFonts w:ascii="Times New Roman" w:eastAsia="Times New Roman" w:hAnsi="Times New Roman" w:cs="Times New Roman"/>
                <w:sz w:val="26"/>
              </w:rPr>
              <w:t>Lệ phí : 145 USD (Thẻ tạm trú có thời hạn không quá 02 năm: 145 USD/thẻ.)</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Nộp hồ sơ trực tiếp tại Cơ quan Quản lý xuất nhập cảnh Công an cấp tỉnh. 05 ngày làm việc kể từ ngày nhận đủ hồ sơ.</w:t>
            </w:r>
          </w:p>
        </w:tc>
      </w:tr>
      <w:tr w:rsidR="00127F23">
        <w:tblPrEx>
          <w:tblCellMar>
            <w:top w:w="0" w:type="dxa"/>
            <w:bottom w:w="0" w:type="dxa"/>
          </w:tblCellMar>
        </w:tblPrEx>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Trực tuyến</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5 Ngày làm việc</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Lệ phí : 145 USD (Thẻ tạm trú có thời hạn không quá 02 năm: 145 USD/thẻ.)</w:t>
            </w:r>
          </w:p>
          <w:p w:rsidR="00127F23" w:rsidRDefault="007948E9">
            <w:pPr>
              <w:spacing w:after="0" w:line="276" w:lineRule="auto"/>
            </w:pPr>
            <w:r>
              <w:rPr>
                <w:rFonts w:ascii="Times New Roman" w:eastAsia="Times New Roman" w:hAnsi="Times New Roman" w:cs="Times New Roman"/>
                <w:sz w:val="26"/>
              </w:rPr>
              <w:t>Lệ phí : 155 USD</w:t>
            </w:r>
            <w:r>
              <w:rPr>
                <w:rFonts w:ascii="Times New Roman" w:eastAsia="Times New Roman" w:hAnsi="Times New Roman" w:cs="Times New Roman"/>
                <w:sz w:val="26"/>
              </w:rPr>
              <w:t xml:space="preserve"> (Thẻ tạm trú có thời hạn từ trên 02 năm đến 05 năm: 155 USD/thẻ.)</w:t>
            </w:r>
          </w:p>
          <w:p w:rsidR="00127F23" w:rsidRDefault="007948E9">
            <w:pPr>
              <w:spacing w:after="0" w:line="276" w:lineRule="auto"/>
            </w:pPr>
            <w:r>
              <w:rPr>
                <w:rFonts w:ascii="Times New Roman" w:eastAsia="Times New Roman" w:hAnsi="Times New Roman" w:cs="Times New Roman"/>
                <w:sz w:val="26"/>
              </w:rPr>
              <w:t>Lệ phí : 165 USD (Thẻ tạm trú có thời hạn từ trên 05 năm đến 10 năm: 165 USD/thẻ.)</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 05 ngày làm việc kể từ ngày nhận đủ hồ sơ.</w:t>
            </w:r>
          </w:p>
        </w:tc>
      </w:tr>
      <w:tr w:rsidR="00127F23">
        <w:tblPrEx>
          <w:tblCellMar>
            <w:top w:w="0" w:type="dxa"/>
            <w:bottom w:w="0" w:type="dxa"/>
          </w:tblCellMar>
        </w:tblPrEx>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Dịch vụ bưu chính</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5 Ngày làm việc</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Lệ phí : 145 USD (Thẻ tạm trú có thời hạn không quá 02 năm: 145 USD/thẻ.)</w:t>
            </w:r>
          </w:p>
          <w:p w:rsidR="00127F23" w:rsidRDefault="007948E9">
            <w:pPr>
              <w:spacing w:after="0" w:line="276" w:lineRule="auto"/>
            </w:pPr>
            <w:r>
              <w:rPr>
                <w:rFonts w:ascii="Times New Roman" w:eastAsia="Times New Roman" w:hAnsi="Times New Roman" w:cs="Times New Roman"/>
                <w:sz w:val="26"/>
              </w:rPr>
              <w:t>Lệ phí : 155 USD</w:t>
            </w:r>
            <w:r>
              <w:rPr>
                <w:rFonts w:ascii="Times New Roman" w:eastAsia="Times New Roman" w:hAnsi="Times New Roman" w:cs="Times New Roman"/>
                <w:sz w:val="26"/>
              </w:rPr>
              <w:t xml:space="preserve"> (Thẻ </w:t>
            </w:r>
            <w:r>
              <w:rPr>
                <w:rFonts w:ascii="Times New Roman" w:eastAsia="Times New Roman" w:hAnsi="Times New Roman" w:cs="Times New Roman"/>
                <w:sz w:val="26"/>
              </w:rPr>
              <w:lastRenderedPageBreak/>
              <w:t>tạm trú có thời hạn từ trên 02 năm đến 05 năm: 155 USD/thẻ.)</w:t>
            </w:r>
          </w:p>
          <w:p w:rsidR="00127F23" w:rsidRDefault="007948E9">
            <w:pPr>
              <w:spacing w:after="0" w:line="276" w:lineRule="auto"/>
            </w:pPr>
            <w:r>
              <w:rPr>
                <w:rFonts w:ascii="Times New Roman" w:eastAsia="Times New Roman" w:hAnsi="Times New Roman" w:cs="Times New Roman"/>
                <w:sz w:val="26"/>
              </w:rPr>
              <w:t>Lệ phí : 165 USD (Thẻ tạm trú có thời hạn từ trên 05 năm đến 10 năm: 165 USD/thẻ.)</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 xml:space="preserve">nộp bổ sung hồ sơ qua dịch vụ bưu chính công ích theo thông báo của Cơ quan Quản lý xuất nhập cảnh Công an cấp tỉnh trên Cổng dịch vụ công quốc gia hoặc Cổng dịch vụ công Bộ Công an (nếu có). 05 ngày làm việc kể từ ngày nhận </w:t>
            </w:r>
            <w:r>
              <w:rPr>
                <w:rFonts w:ascii="Times New Roman" w:eastAsia="Times New Roman" w:hAnsi="Times New Roman" w:cs="Times New Roman"/>
                <w:sz w:val="26"/>
              </w:rPr>
              <w:lastRenderedPageBreak/>
              <w:t>đủ hồ sơ.</w:t>
            </w:r>
          </w:p>
        </w:tc>
      </w:tr>
    </w:tbl>
    <w:p w:rsidR="00127F23" w:rsidRDefault="007948E9">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127F23" w:rsidRDefault="007948E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22"/>
        <w:gridCol w:w="1170"/>
        <w:gridCol w:w="933"/>
      </w:tblGrid>
      <w:tr w:rsidR="00127F23">
        <w:tblPrEx>
          <w:tblCellMar>
            <w:top w:w="0" w:type="dxa"/>
            <w:bottom w:w="0" w:type="dxa"/>
          </w:tblCellMar>
        </w:tblPrEx>
        <w:tc>
          <w:tcPr>
            <w:tcW w:w="6000" w:type="dxa"/>
          </w:tcPr>
          <w:p w:rsidR="00127F23" w:rsidRDefault="00127F23"/>
          <w:p w:rsidR="00127F23" w:rsidRDefault="007948E9">
            <w:pPr>
              <w:spacing w:after="0" w:line="276" w:lineRule="auto"/>
              <w:jc w:val="center"/>
            </w:pPr>
            <w:r>
              <w:rPr>
                <w:rFonts w:ascii="Times New Roman" w:eastAsia="Times New Roman" w:hAnsi="Times New Roman" w:cs="Times New Roman"/>
                <w:b/>
                <w:sz w:val="26"/>
              </w:rPr>
              <w:t>Tên giấy tờ</w:t>
            </w:r>
          </w:p>
        </w:tc>
        <w:tc>
          <w:tcPr>
            <w:tcW w:w="2000" w:type="dxa"/>
          </w:tcPr>
          <w:p w:rsidR="00127F23" w:rsidRDefault="00127F23"/>
          <w:p w:rsidR="00127F23" w:rsidRDefault="007948E9">
            <w:pPr>
              <w:spacing w:after="0" w:line="276" w:lineRule="auto"/>
              <w:jc w:val="center"/>
            </w:pPr>
            <w:r>
              <w:rPr>
                <w:rFonts w:ascii="Times New Roman" w:eastAsia="Times New Roman" w:hAnsi="Times New Roman" w:cs="Times New Roman"/>
                <w:b/>
                <w:sz w:val="26"/>
              </w:rPr>
              <w:t>Mẫu đơn, tờ khai</w:t>
            </w:r>
          </w:p>
        </w:tc>
        <w:tc>
          <w:tcPr>
            <w:tcW w:w="2000" w:type="dxa"/>
          </w:tcPr>
          <w:p w:rsidR="00127F23" w:rsidRDefault="00127F23"/>
          <w:p w:rsidR="00127F23" w:rsidRDefault="007948E9">
            <w:pPr>
              <w:spacing w:after="0" w:line="276" w:lineRule="auto"/>
              <w:jc w:val="center"/>
            </w:pPr>
            <w:r>
              <w:rPr>
                <w:rFonts w:ascii="Times New Roman" w:eastAsia="Times New Roman" w:hAnsi="Times New Roman" w:cs="Times New Roman"/>
                <w:b/>
                <w:sz w:val="26"/>
              </w:rPr>
              <w:t>Số lượng</w:t>
            </w:r>
          </w:p>
        </w:tc>
      </w:tr>
      <w:tr w:rsidR="00127F23">
        <w:tblPrEx>
          <w:tblCellMar>
            <w:top w:w="0" w:type="dxa"/>
            <w:bottom w:w="0" w:type="dxa"/>
          </w:tblCellMar>
        </w:tblPrEx>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Văn bản đề nghị của cơ quan, tổ chức, cá nhân làm thủ tục mời, bảo lãnh: mẫu NA6 (ban hành kèm theo Thông tư số 04/2015/TT-BCA ngày 05/01/2015 của Bộ Công an) đối với cơ quan, tổ chức; mẫu NA7 (ban hành kèm theo Thông tư số 22/2023/TT-BCA ngày 30/6/2023 của Bộ Công an) đối với cá nhân</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7-Mẫu NA6.doc</w:t>
            </w:r>
          </w:p>
          <w:p w:rsidR="00127F23" w:rsidRDefault="007948E9">
            <w:pPr>
              <w:spacing w:after="0" w:line="276" w:lineRule="auto"/>
            </w:pPr>
            <w:r>
              <w:rPr>
                <w:rFonts w:ascii="Times New Roman" w:eastAsia="Times New Roman" w:hAnsi="Times New Roman" w:cs="Times New Roman"/>
                <w:sz w:val="26"/>
              </w:rPr>
              <w:t>NA7.doc</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27F23">
        <w:tblPrEx>
          <w:tblCellMar>
            <w:top w:w="0" w:type="dxa"/>
            <w:bottom w:w="0" w:type="dxa"/>
          </w:tblCellMar>
        </w:tblPrEx>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Tờ khai đề nghị cấp thẻ tạm trú (mẫu NA8) ban hành kèm theo Thông tư số 04/2015/TT-BCA ngày 05/01/2015;</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NA8.pdf</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27F23">
        <w:tblPrEx>
          <w:tblCellMar>
            <w:top w:w="0" w:type="dxa"/>
            <w:bottom w:w="0" w:type="dxa"/>
          </w:tblCellMar>
        </w:tblPrEx>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Hộ chiếu</w:t>
            </w:r>
          </w:p>
        </w:tc>
        <w:tc>
          <w:tcPr>
            <w:tcW w:w="0" w:type="auto"/>
          </w:tcPr>
          <w:p w:rsidR="00127F23" w:rsidRDefault="00127F23"/>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27F23">
        <w:tblPrEx>
          <w:tblCellMar>
            <w:top w:w="0" w:type="dxa"/>
            <w:bottom w:w="0" w:type="dxa"/>
          </w:tblCellMar>
        </w:tblPrEx>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Giấy tờ chứng minh thuộc diện xem xét cấp thẻ tạm trú là một trong các loại giấy tờ như: giấy phép lao động, giấy xác nhận không thuộc diện cấp giấy phép lao động hoặc các giấy tờ khác có giá trị chứng minh đủ điều kiện cấp thẻ tạm trú.</w:t>
            </w:r>
          </w:p>
        </w:tc>
        <w:tc>
          <w:tcPr>
            <w:tcW w:w="0" w:type="auto"/>
          </w:tcPr>
          <w:p w:rsidR="00127F23" w:rsidRDefault="00127F23"/>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27F23">
        <w:tblPrEx>
          <w:tblCellMar>
            <w:top w:w="0" w:type="dxa"/>
            <w:bottom w:w="0" w:type="dxa"/>
          </w:tblCellMar>
        </w:tblPrEx>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02 ảnh cỡ 2x3 cm (01 ảnh dán vào tờ khai, 01 ảnh rời).</w:t>
            </w:r>
          </w:p>
        </w:tc>
        <w:tc>
          <w:tcPr>
            <w:tcW w:w="0" w:type="auto"/>
          </w:tcPr>
          <w:p w:rsidR="00127F23" w:rsidRDefault="00127F23"/>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127F23">
        <w:tblPrEx>
          <w:tblCellMar>
            <w:top w:w="0" w:type="dxa"/>
            <w:bottom w:w="0" w:type="dxa"/>
          </w:tblCellMar>
        </w:tblPrEx>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Trường hợp nộp hồ sơ trực tuyến thì hộ chiếu phải gửi qua dịch vụ bưu chính công ích về cơ quan tiếp nhận; thành phần hồ sơ khác phải được chứng thực điện tử theo quy định, trường hợp chưa được chứng thực điện tử thì gửi hồ sơ về cơ quan tiếp nhận thông qua dịch vụ bưu chính công ích.</w:t>
            </w:r>
          </w:p>
        </w:tc>
        <w:tc>
          <w:tcPr>
            <w:tcW w:w="0" w:type="auto"/>
          </w:tcPr>
          <w:p w:rsidR="00127F23" w:rsidRDefault="00127F23"/>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127F23" w:rsidRDefault="007948E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 Cán bộ, công chức, viên chức, Tổ chức (không bao gồm doanh nghiệp, HTX), Tổ chức nước ngoài</w:t>
      </w:r>
    </w:p>
    <w:p w:rsidR="00127F23" w:rsidRDefault="007948E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quản lý xuất nhập cảnh</w:t>
      </w:r>
    </w:p>
    <w:p w:rsidR="00127F23" w:rsidRDefault="007948E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127F23" w:rsidRDefault="007948E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Phòng quản lý xuất nhập cảnh Công an tỉnh, thành phố trực thuộc Trung ương</w:t>
      </w:r>
    </w:p>
    <w:p w:rsidR="00127F23" w:rsidRDefault="007948E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127F23" w:rsidRDefault="007948E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127F23" w:rsidRDefault="007948E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tạm trú</w:t>
      </w:r>
    </w:p>
    <w:p w:rsidR="00127F23" w:rsidRDefault="007948E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2"/>
        <w:gridCol w:w="5581"/>
        <w:gridCol w:w="859"/>
        <w:gridCol w:w="1283"/>
      </w:tblGrid>
      <w:tr w:rsidR="00127F23">
        <w:tblPrEx>
          <w:tblCellMar>
            <w:top w:w="0" w:type="dxa"/>
            <w:bottom w:w="0" w:type="dxa"/>
          </w:tblCellMar>
        </w:tblPrEx>
        <w:tc>
          <w:tcPr>
            <w:tcW w:w="2000" w:type="dxa"/>
          </w:tcPr>
          <w:p w:rsidR="00127F23" w:rsidRDefault="00127F23"/>
          <w:p w:rsidR="00127F23" w:rsidRDefault="007948E9">
            <w:pPr>
              <w:spacing w:after="0" w:line="276" w:lineRule="auto"/>
              <w:jc w:val="center"/>
            </w:pPr>
            <w:r>
              <w:rPr>
                <w:rFonts w:ascii="Times New Roman" w:eastAsia="Times New Roman" w:hAnsi="Times New Roman" w:cs="Times New Roman"/>
                <w:b/>
                <w:sz w:val="26"/>
              </w:rPr>
              <w:t>Số ký hiệu</w:t>
            </w:r>
          </w:p>
        </w:tc>
        <w:tc>
          <w:tcPr>
            <w:tcW w:w="3500" w:type="dxa"/>
          </w:tcPr>
          <w:p w:rsidR="00127F23" w:rsidRDefault="00127F23"/>
          <w:p w:rsidR="00127F23" w:rsidRDefault="007948E9">
            <w:pPr>
              <w:spacing w:after="0" w:line="276" w:lineRule="auto"/>
              <w:jc w:val="center"/>
            </w:pPr>
            <w:r>
              <w:rPr>
                <w:rFonts w:ascii="Times New Roman" w:eastAsia="Times New Roman" w:hAnsi="Times New Roman" w:cs="Times New Roman"/>
                <w:b/>
                <w:sz w:val="26"/>
              </w:rPr>
              <w:t>Trích yếu</w:t>
            </w:r>
          </w:p>
        </w:tc>
        <w:tc>
          <w:tcPr>
            <w:tcW w:w="1500" w:type="dxa"/>
          </w:tcPr>
          <w:p w:rsidR="00127F23" w:rsidRDefault="00127F23"/>
          <w:p w:rsidR="00127F23" w:rsidRDefault="007948E9">
            <w:pPr>
              <w:spacing w:after="0" w:line="276" w:lineRule="auto"/>
              <w:jc w:val="center"/>
            </w:pPr>
            <w:r>
              <w:rPr>
                <w:rFonts w:ascii="Times New Roman" w:eastAsia="Times New Roman" w:hAnsi="Times New Roman" w:cs="Times New Roman"/>
                <w:b/>
                <w:sz w:val="26"/>
              </w:rPr>
              <w:t>Ngày ban hành</w:t>
            </w:r>
          </w:p>
        </w:tc>
        <w:tc>
          <w:tcPr>
            <w:tcW w:w="3000" w:type="dxa"/>
          </w:tcPr>
          <w:p w:rsidR="00127F23" w:rsidRDefault="00127F23"/>
          <w:p w:rsidR="00127F23" w:rsidRDefault="007948E9">
            <w:pPr>
              <w:spacing w:after="0" w:line="276" w:lineRule="auto"/>
              <w:jc w:val="center"/>
            </w:pPr>
            <w:r>
              <w:rPr>
                <w:rFonts w:ascii="Times New Roman" w:eastAsia="Times New Roman" w:hAnsi="Times New Roman" w:cs="Times New Roman"/>
                <w:b/>
                <w:sz w:val="26"/>
              </w:rPr>
              <w:t>Cơ quan ban hành</w:t>
            </w:r>
          </w:p>
        </w:tc>
      </w:tr>
      <w:tr w:rsidR="00127F23">
        <w:tblPrEx>
          <w:tblCellMar>
            <w:top w:w="0" w:type="dxa"/>
            <w:bottom w:w="0" w:type="dxa"/>
          </w:tblCellMar>
        </w:tblPrEx>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47/2014/QH13</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Luật 47/2014/QH13</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16-06-2014</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Quốc Hội</w:t>
            </w:r>
          </w:p>
        </w:tc>
      </w:tr>
      <w:tr w:rsidR="00127F23">
        <w:tblPrEx>
          <w:tblCellMar>
            <w:top w:w="0" w:type="dxa"/>
            <w:bottom w:w="0" w:type="dxa"/>
          </w:tblCellMar>
        </w:tblPrEx>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 xml:space="preserve"> 04/2015/TT-BCA </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04/2015/TT-BCA</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05-01-2015</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Bộ Công an</w:t>
            </w:r>
          </w:p>
        </w:tc>
      </w:tr>
      <w:tr w:rsidR="00127F23">
        <w:tblPrEx>
          <w:tblCellMar>
            <w:top w:w="0" w:type="dxa"/>
            <w:bottom w:w="0" w:type="dxa"/>
          </w:tblCellMar>
        </w:tblPrEx>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 xml:space="preserve"> 31/2015/TT-BCA </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Thông tư 31/2015/TT-BCA</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06-07-2015</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Bộ Công an</w:t>
            </w:r>
          </w:p>
        </w:tc>
      </w:tr>
      <w:tr w:rsidR="00127F23">
        <w:tblPrEx>
          <w:tblCellMar>
            <w:top w:w="0" w:type="dxa"/>
            <w:bottom w:w="0" w:type="dxa"/>
          </w:tblCellMar>
        </w:tblPrEx>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25/2021/TT-BTC</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Thông tư 25/2021/TT-BTC</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07-04-2021</w:t>
            </w:r>
          </w:p>
        </w:tc>
        <w:tc>
          <w:tcPr>
            <w:tcW w:w="0" w:type="auto"/>
          </w:tcPr>
          <w:p w:rsidR="00127F23" w:rsidRDefault="00127F23"/>
        </w:tc>
      </w:tr>
      <w:tr w:rsidR="00127F23">
        <w:tblPrEx>
          <w:tblCellMar>
            <w:top w:w="0" w:type="dxa"/>
            <w:bottom w:w="0" w:type="dxa"/>
          </w:tblCellMar>
        </w:tblPrEx>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51/2019/QH14</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Luật 51/2019/QH14</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25-11-2019</w:t>
            </w:r>
          </w:p>
        </w:tc>
        <w:tc>
          <w:tcPr>
            <w:tcW w:w="0" w:type="auto"/>
          </w:tcPr>
          <w:p w:rsidR="00127F23" w:rsidRDefault="00127F23"/>
        </w:tc>
      </w:tr>
      <w:tr w:rsidR="00127F23">
        <w:tblPrEx>
          <w:tblCellMar>
            <w:top w:w="0" w:type="dxa"/>
            <w:bottom w:w="0" w:type="dxa"/>
          </w:tblCellMar>
        </w:tblPrEx>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23/2023/QH15</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24-06-2023</w:t>
            </w:r>
          </w:p>
        </w:tc>
        <w:tc>
          <w:tcPr>
            <w:tcW w:w="0" w:type="auto"/>
          </w:tcPr>
          <w:p w:rsidR="00127F23" w:rsidRDefault="00127F23"/>
        </w:tc>
      </w:tr>
      <w:tr w:rsidR="00127F23">
        <w:tblPrEx>
          <w:tblCellMar>
            <w:top w:w="0" w:type="dxa"/>
            <w:bottom w:w="0" w:type="dxa"/>
          </w:tblCellMar>
        </w:tblPrEx>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22/2023/TT-BCA</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Thông tư số 22/2023/TT-BCA</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30-06-2023</w:t>
            </w:r>
          </w:p>
        </w:tc>
        <w:tc>
          <w:tcPr>
            <w:tcW w:w="0" w:type="auto"/>
          </w:tcPr>
          <w:p w:rsidR="00127F23" w:rsidRDefault="00127F23"/>
          <w:p w:rsidR="00127F23" w:rsidRDefault="007948E9">
            <w:pPr>
              <w:spacing w:after="0" w:line="276" w:lineRule="auto"/>
            </w:pPr>
            <w:r>
              <w:rPr>
                <w:rFonts w:ascii="Times New Roman" w:eastAsia="Times New Roman" w:hAnsi="Times New Roman" w:cs="Times New Roman"/>
                <w:sz w:val="26"/>
              </w:rPr>
              <w:t>Bộ Công an</w:t>
            </w:r>
          </w:p>
        </w:tc>
      </w:tr>
    </w:tbl>
    <w:p w:rsidR="00127F23" w:rsidRDefault="007948E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Cơ quan, tổ chức, doanh nghiệp có trụ sở đóng tại địa phương khi đề nghị cấp thẻ tạm trú cho người nước ngoài cần phải nộp hồ sơ theo quy định tại khoản 2 Điều 16 Luật Nhập cảnh, xuất cảnh, quá cảnh, cư trú của người nước ngoài tại Việt Nam tại Cơ quan Quản lý xuất nhập cảnh Công an cấp tỉnh hồ sơ gồm: + Bản sao có chứng thực giấy phép hoặc quyết định của cơ quan có thẩm quyền về việc thành lập tổ chức. + Văn bản giới thiệu con dấy, chữ ký của người có thẩm quyền của tổ chức. Việc nộp hồ sơ trên chỉ thực </w:t>
      </w:r>
      <w:r>
        <w:rPr>
          <w:rFonts w:ascii="Times New Roman" w:eastAsia="Times New Roman" w:hAnsi="Times New Roman" w:cs="Times New Roman"/>
          <w:sz w:val="26"/>
        </w:rPr>
        <w:t>hiện một lần. Khi có thay đổi nội dung trong hồ sơ thì cơ quan, tổ chức phải có văn bản thông báo cho cơ quan quản lý xuất nhập cảnh để bổ sung hồ sơ. * Người nước ngoài nhập cảnh có mục đích hoạt động phù hợp với quy định của pháp luật Việt Nam, và không thuộc diện chưa cho nhập cảnh, tạm hoãn xuất cảnh theo quy định tại Điều 21, Điều 28 và người nước ngoài thuộc các trường hợp được cấp thẻ tạm trú theo quy định tại Điều 36 Luật nhập cảnh, xuất cảnh, quá cảnh, cư trú của người nước ngoài tại Việt Nam.</w:t>
      </w:r>
    </w:p>
    <w:p w:rsidR="00127F23" w:rsidRDefault="007948E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127F23" w:rsidRDefault="007948E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https://thutuc.dichvucong.gov.vn/p/home/dvc-tthc-thu-tuc-hanh-chinh-chi-tiet.html?ma_thu_tuc=4942</w:t>
      </w:r>
    </w:p>
    <w:sectPr w:rsidR="00127F2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27F23"/>
    <w:rsid w:val="00127F23"/>
    <w:rsid w:val="007948E9"/>
    <w:rsid w:val="00AE5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6D228A-475C-4746-8EDC-E1885C17E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1093</Words>
  <Characters>6231</Characters>
  <Application>Microsoft Office Word</Application>
  <DocSecurity>0</DocSecurity>
  <Lines>51</Lines>
  <Paragraphs>14</Paragraphs>
  <ScaleCrop>false</ScaleCrop>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2025-11-24T08:34:00Z</dcterms:created>
  <dcterms:modified xsi:type="dcterms:W3CDTF">2025-11-24T08:34:00Z</dcterms:modified>
</cp:coreProperties>
</file>