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7F04" w:rsidRDefault="00692E49">
      <w:pPr>
        <w:spacing w:after="300" w:line="276" w:lineRule="auto"/>
        <w:jc w:val="center"/>
      </w:pPr>
      <w:r>
        <w:rPr>
          <w:rFonts w:ascii="Times New Roman" w:eastAsia="Times New Roman" w:hAnsi="Times New Roman" w:cs="Times New Roman"/>
          <w:b/>
          <w:sz w:val="26"/>
        </w:rPr>
        <w:t>Chi tiết thủ tục hành chính</w:t>
      </w:r>
    </w:p>
    <w:p w:rsidR="00547F04" w:rsidRDefault="00692E4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1.003523</w:t>
      </w:r>
    </w:p>
    <w:p w:rsidR="00547F04" w:rsidRDefault="00692E4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rsidR="00547F04" w:rsidRDefault="00692E4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Giải quyết tố cáo không thuộc lĩnh vực tố tụng hình sự của công dân đối với lực lượng Công an nhân dân (thực hiện tại cấp Trung ương)</w:t>
      </w:r>
    </w:p>
    <w:p w:rsidR="00547F04" w:rsidRDefault="00692E4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547F04" w:rsidRDefault="00692E4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547F04" w:rsidRDefault="00692E4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Khiếu nại, tố cáo</w:t>
      </w:r>
    </w:p>
    <w:p w:rsidR="00547F04" w:rsidRDefault="00692E49">
      <w:pPr>
        <w:spacing w:after="0" w:line="276" w:lineRule="auto"/>
        <w:jc w:val="both"/>
      </w:pPr>
      <w:r>
        <w:rPr>
          <w:rFonts w:ascii="Times New Roman" w:eastAsia="Times New Roman" w:hAnsi="Times New Roman" w:cs="Times New Roman"/>
          <w:b/>
          <w:sz w:val="26"/>
        </w:rPr>
        <w:t xml:space="preserve">Trình tự thực hiện: </w:t>
      </w:r>
    </w:p>
    <w:p w:rsidR="00547F04" w:rsidRDefault="00547F04">
      <w:pPr>
        <w:shd w:val="clear" w:color="auto" w:fill="F2F6F9"/>
        <w:spacing w:before="120" w:after="0" w:line="276" w:lineRule="auto"/>
        <w:jc w:val="both"/>
      </w:pPr>
    </w:p>
    <w:p w:rsidR="00547F04" w:rsidRDefault="00692E49">
      <w:pPr>
        <w:spacing w:after="0" w:line="276" w:lineRule="auto"/>
        <w:jc w:val="both"/>
      </w:pPr>
      <w:r>
        <w:rPr>
          <w:rFonts w:ascii="Times New Roman" w:eastAsia="Times New Roman" w:hAnsi="Times New Roman" w:cs="Times New Roman"/>
          <w:sz w:val="26"/>
        </w:rPr>
        <w:t>Bước 1: Tiếp nhận, xử lý thông tin tố cáo: Khi nhận được tố cáo thì người giải quyết tố cáo có trách nhiệm phân loại và xử lý như sau:  a) Nếu tố cáo thuộc thẩm quyền giải quyết của Cục trưởng, Thủ trưởng đơn vị trực thuộc Tổng cục hoặc Thủ trưởng đơn vị cấp tương đương; Cục trưởng, Thủ trưởng đơn vị trực thuộc Bộ; Tổng cục trưởng hoặc Thủ trưởng đơn vị cấp tương đương; Bộ trưởng thì trong thời hạn 10 ngày, kể từ ngày nhận được đơn tố cáo, phải kiểm tra, xác minh họ, tên, địa chỉ của người tố cáo và các nội</w:t>
      </w:r>
      <w:r>
        <w:rPr>
          <w:rFonts w:ascii="Times New Roman" w:eastAsia="Times New Roman" w:hAnsi="Times New Roman" w:cs="Times New Roman"/>
          <w:sz w:val="26"/>
        </w:rPr>
        <w:t xml:space="preserve"> dung khác để quyết định việc thụ lý hoặc không thụ lý giải quyết tố cáo, đồng thời thông báo bằng văn bản cho người tố cáo biết lý do không thụ lý (nếu người tố cáo không có yêu cầu giữ bí mật); trường hợp phải kiểm tra, xác minh tại nhiều địa điểm thì thời hạn kiểm tra, xác minh có thể dài hơn nhưng không quá 15 ngày.  b) Nếu tố cáo không thuộc thẩm quyền giải quyết của mình, nhưng thuộc trách nhiệm giải quyết của Công an nhân dân, thì trong thời hạn 05 ngày làm việc kể từ ngày nhận được, cơ quan, đơn vị </w:t>
      </w:r>
      <w:r>
        <w:rPr>
          <w:rFonts w:ascii="Times New Roman" w:eastAsia="Times New Roman" w:hAnsi="Times New Roman" w:cs="Times New Roman"/>
          <w:sz w:val="26"/>
        </w:rPr>
        <w:t>tiếp nhận tố cáo phải chuyển đến Thủ trưởng cơ quan Công an có thẩm quyền giải quyết theo quy định tại Điều 5 Nghị định số 91/2013/NĐ-CP ngày 12/8/2013 của Chính phủ quy định về tố cáo và giải quyết tố cáo trong Công an nhân dân để xem xét, giải quyết; đồng thời thông báo bằng văn bản cho người tố cáo (nếu người tố cáo không yêu cầu giữ bí mật) và cơ quan Thanh tra Công an cùng cấp với cơ quan có thẩm quyền giải quyết tố cáo biết.  c) Nếu tố cáo không thuộc thẩm quyền giải quyết thì trong thời hạn 05 ngày l</w:t>
      </w:r>
      <w:r>
        <w:rPr>
          <w:rFonts w:ascii="Times New Roman" w:eastAsia="Times New Roman" w:hAnsi="Times New Roman" w:cs="Times New Roman"/>
          <w:sz w:val="26"/>
        </w:rPr>
        <w:t>àm việc, kể từ ngày nhận được đơn tố cáo, người tiếp nhận phải chuyển đơn tố cáo cho cơ quan, tổ chức, cá nhân có thẩm quyền giải quyết và thông báo cho người tố cáo (nếu có yêu cầu). Trường hợp người tố cáo đến tố cáo trực tiếp thì người tiếp nhận tố cáo hướng dẫn người tố cáo đến tố cáo với cơ quan, tổ chức, cá nhân có thẩm quyền giải quyết.</w:t>
      </w:r>
    </w:p>
    <w:p w:rsidR="00547F04" w:rsidRDefault="00692E49">
      <w:pPr>
        <w:spacing w:after="0" w:line="276" w:lineRule="auto"/>
        <w:jc w:val="both"/>
      </w:pPr>
      <w:r>
        <w:rPr>
          <w:rFonts w:ascii="Times New Roman" w:eastAsia="Times New Roman" w:hAnsi="Times New Roman" w:cs="Times New Roman"/>
          <w:sz w:val="26"/>
        </w:rPr>
        <w:t xml:space="preserve">Bước 2: Thụ lý, xác minh nội dung tố cáo: Người giải quyết tố cáo ban hành quyết định thụ lý giải quyết tố cáo (sau đây gọi tắt là quyết định thụ lý). Việc thay đổi, bổ sung nội dung quyết định thụ lý phải thực hiện bằng quyết định của người giải quyết tố cáo.            Trong trường hợp người giải quyết tố cáo trực tiếp tiến hành xác minh thì trong quyết định thụ lý phải thành lập Đoàn xác minh tố cáo hoặc Tổ xác minh tố cáo (sau đây gọi chung là Tổ xác minh) có từ hai người trở lên, trong đó giao cho một </w:t>
      </w:r>
      <w:r>
        <w:rPr>
          <w:rFonts w:ascii="Times New Roman" w:eastAsia="Times New Roman" w:hAnsi="Times New Roman" w:cs="Times New Roman"/>
          <w:sz w:val="26"/>
        </w:rPr>
        <w:t xml:space="preserve">người làm Trưởng </w:t>
      </w:r>
      <w:r>
        <w:rPr>
          <w:rFonts w:ascii="Times New Roman" w:eastAsia="Times New Roman" w:hAnsi="Times New Roman" w:cs="Times New Roman"/>
          <w:sz w:val="26"/>
        </w:rPr>
        <w:lastRenderedPageBreak/>
        <w:t>đoàn xác minh hoặc Tổ trưởng Tổ xác minh (sau đây gọi chung là Tổ trưởng Tổ xác minh).  Trong trường hợp người giải quyết tố cáo giao nhiệm vụ cho cơ quan thanh tra cùng cấp hoặc cơ quan chức năng khác tiến hành xác minh nội dung tố cáo thì trong quyết định thụ lý phải ghi rõ cơ quan, tổ chức, đơn vị được giao nhiệm vụ xác minh; cơ quan, tổ chức, đơn vị bị tố cáo; họ tên, địa chỉ của người bị tố cáo; nội dung cần xác minh; thời hạn xác minh. Thủ trưởng cơ quan thanh tra hoặc cơ quan chức nă</w:t>
      </w:r>
      <w:r>
        <w:rPr>
          <w:rFonts w:ascii="Times New Roman" w:eastAsia="Times New Roman" w:hAnsi="Times New Roman" w:cs="Times New Roman"/>
          <w:sz w:val="26"/>
        </w:rPr>
        <w:t>ng khác được giao xác minh nội dung tố cáo có trách nhiệm thành lập Tổ xác minh.          Người giải quyết tố cáo phải thông báo bằng văn bản cho người tố cáo về việc thụ lý tố cáo và các nội dung tố cáo được thụ lý.          Trước khi tiến hành xác minh, phải tổ chức công bố quyết định thụ lý giải quyết tố cáo hoặc quyết đinh nội dung tố cáo.          Trong quá trình xác minh, Tổ xác minh phải làm việc với người bị tố cáo; người tố cáo; cơ quan, tổ chức, đơn vị, cá nhân có liên quan để thu thập các tài liệ</w:t>
      </w:r>
      <w:r>
        <w:rPr>
          <w:rFonts w:ascii="Times New Roman" w:eastAsia="Times New Roman" w:hAnsi="Times New Roman" w:cs="Times New Roman"/>
          <w:sz w:val="26"/>
        </w:rPr>
        <w:t>u liên quan đến nội dung tố cáo;</w:t>
      </w:r>
    </w:p>
    <w:p w:rsidR="00547F04" w:rsidRDefault="00692E49">
      <w:pPr>
        <w:spacing w:after="0" w:line="276" w:lineRule="auto"/>
        <w:jc w:val="both"/>
      </w:pPr>
      <w:r>
        <w:rPr>
          <w:rFonts w:ascii="Times New Roman" w:eastAsia="Times New Roman" w:hAnsi="Times New Roman" w:cs="Times New Roman"/>
          <w:sz w:val="26"/>
        </w:rPr>
        <w:t xml:space="preserve">Bước 3: Báo cáo kết quả xác minh và kết luận nội dung tố cáo:  a) Dự thảo Báo cáo kết quả xác minh, tổ chức thông báo dự thảo Báo cáo kết quả xác minh;  b) Hoàn chỉnh Báo cáo kết quả xác minh;  Các bước tiến hành trên được thực hiện theo quy định tại Thông tư số 12/2015/TT-BCA, ngày 02/3/2015 của Bộ Công an quy định quy trình giải quyết tố cáo trong Công an nhân dân.  c) Kết luận nội dung tố cáo:  Căn cứ Báo cáo kết quả xác minh nội dung tố cáo, các thông tin, tài liệu, chứng cứ có liên quan, đối chiếu với </w:t>
      </w:r>
      <w:r>
        <w:rPr>
          <w:rFonts w:ascii="Times New Roman" w:eastAsia="Times New Roman" w:hAnsi="Times New Roman" w:cs="Times New Roman"/>
          <w:sz w:val="26"/>
        </w:rPr>
        <w:t>các quy định của pháp luật, người có thẩm quyền giải quyết tố cáo ban hành Kết luận nội dung tố cáo.</w:t>
      </w:r>
    </w:p>
    <w:p w:rsidR="00547F04" w:rsidRDefault="00692E49">
      <w:pPr>
        <w:spacing w:after="0" w:line="276" w:lineRule="auto"/>
        <w:jc w:val="both"/>
      </w:pPr>
      <w:r>
        <w:rPr>
          <w:rFonts w:ascii="Times New Roman" w:eastAsia="Times New Roman" w:hAnsi="Times New Roman" w:cs="Times New Roman"/>
          <w:sz w:val="26"/>
        </w:rPr>
        <w:t xml:space="preserve">Bước 4: xử lý tố cáo của người giải quyết tố cáo: Ngay sau khi có Kết luận về nội dung tố cáo, Thủ trưởng cơ quan có thẩm quyền căn cứ kết quả xác minh, kết luận nội dung tố cáo để xử lý theo quy định tại Thông tư số 12/2015/TT-BCA, ngày 02/3/2015 của Bộ Công an quy định quy trình giải quyết tố cáo trong Công an nhân dân. </w:t>
      </w:r>
    </w:p>
    <w:p w:rsidR="00547F04" w:rsidRDefault="00692E49">
      <w:pPr>
        <w:spacing w:after="0" w:line="276" w:lineRule="auto"/>
        <w:jc w:val="both"/>
      </w:pPr>
      <w:r>
        <w:rPr>
          <w:rFonts w:ascii="Times New Roman" w:eastAsia="Times New Roman" w:hAnsi="Times New Roman" w:cs="Times New Roman"/>
          <w:sz w:val="26"/>
        </w:rPr>
        <w:t>Bước 5: công khai kết luận nội dung tố cáo  Trong thời hạn 10 ngày, kể từ ngày ký Kết luận nội dung tố cáo, quyết định xử lý hành vi vi phạm pháp luật bị tố cáo, người giải quyết tố cáo có trách nhiệm công khai Kết luận nội dung tố cáo, Quyết định xử lý hành vi vi phạm bị tố cáo theo quy định tại Điều 12 Nghị định số 91/2013/NĐ-CP ngày 12/8/2013 của Chính phủ quy định về tố cáo và giải quyết tố cáo trong Công an nhân dân.  Trong trường hợp người tố cáo có yêu cầu thì người giải quyết tố cáo thông báo kết qu</w:t>
      </w:r>
      <w:r>
        <w:rPr>
          <w:rFonts w:ascii="Times New Roman" w:eastAsia="Times New Roman" w:hAnsi="Times New Roman" w:cs="Times New Roman"/>
          <w:sz w:val="26"/>
        </w:rPr>
        <w:t>ả giải quyết tố cáo cho người tố cáo, trừ những thông tin thuộc bí mật Nhà nước. Việc thông báo kết quả giải quyết tố cáo được thực hiện bằng một trong hai hình thức sau:  (1) Gửi kết luận nội dung tố cáo, quyết định, văn bản xử lý tố cáo cho người tố cáo nếu kết luận, quyết định, văn bản đó không có nội dung, thông tin thuộc bí mật nhà nước, bí mật của ngành Công an;  (2) Gửi văn bản thông báo tóm tắt kết quả giải quyết tố cáo theo nội dung tố cáo cho người tố cáo biết, không đưa những nội dung, thông tin,</w:t>
      </w:r>
      <w:r>
        <w:rPr>
          <w:rFonts w:ascii="Times New Roman" w:eastAsia="Times New Roman" w:hAnsi="Times New Roman" w:cs="Times New Roman"/>
          <w:sz w:val="26"/>
        </w:rPr>
        <w:t xml:space="preserve"> tài liệu thuộc bí mật nhà nước, bí mật của ngành Công an vào văn bản thông báo.</w:t>
      </w:r>
    </w:p>
    <w:p w:rsidR="00547F04" w:rsidRDefault="00692E49">
      <w:pPr>
        <w:spacing w:after="0" w:line="276" w:lineRule="auto"/>
        <w:jc w:val="both"/>
      </w:pPr>
      <w:r>
        <w:rPr>
          <w:rFonts w:ascii="Times New Roman" w:eastAsia="Times New Roman" w:hAnsi="Times New Roman" w:cs="Times New Roman"/>
          <w:sz w:val="26"/>
        </w:rPr>
        <w:t xml:space="preserve">Bước 6: Kết thúc việc giải quyết tố cáo.  Tổ trưởng Tổ xác minh làm thủ tục kết thúc hồ sơ, trình người giải quyết tố cáo hoặc Thủ trưởng cơ quan thanh tra, cơ quan chức năng </w:t>
      </w:r>
      <w:r>
        <w:rPr>
          <w:rFonts w:ascii="Times New Roman" w:eastAsia="Times New Roman" w:hAnsi="Times New Roman" w:cs="Times New Roman"/>
          <w:sz w:val="26"/>
        </w:rPr>
        <w:lastRenderedPageBreak/>
        <w:t>được giao xác minh nội dung tố cáo ký quyết định kết thúc hồ sơ để nộp lưu theo quy định.</w:t>
      </w:r>
    </w:p>
    <w:p w:rsidR="00547F04" w:rsidRDefault="00692E4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5"/>
        <w:gridCol w:w="899"/>
        <w:gridCol w:w="1036"/>
        <w:gridCol w:w="6635"/>
      </w:tblGrid>
      <w:tr w:rsidR="00547F04">
        <w:tblPrEx>
          <w:tblCellMar>
            <w:top w:w="0" w:type="dxa"/>
            <w:bottom w:w="0" w:type="dxa"/>
          </w:tblCellMar>
        </w:tblPrEx>
        <w:tc>
          <w:tcPr>
            <w:tcW w:w="1500" w:type="dxa"/>
          </w:tcPr>
          <w:p w:rsidR="00547F04" w:rsidRDefault="00547F04"/>
          <w:p w:rsidR="00547F04" w:rsidRDefault="00692E49">
            <w:pPr>
              <w:spacing w:after="0" w:line="276" w:lineRule="auto"/>
              <w:jc w:val="center"/>
            </w:pPr>
            <w:r>
              <w:rPr>
                <w:rFonts w:ascii="Times New Roman" w:eastAsia="Times New Roman" w:hAnsi="Times New Roman" w:cs="Times New Roman"/>
                <w:b/>
                <w:sz w:val="26"/>
              </w:rPr>
              <w:t>Hình thức nộp</w:t>
            </w:r>
          </w:p>
        </w:tc>
        <w:tc>
          <w:tcPr>
            <w:tcW w:w="2000" w:type="dxa"/>
          </w:tcPr>
          <w:p w:rsidR="00547F04" w:rsidRDefault="00547F04"/>
          <w:p w:rsidR="00547F04" w:rsidRDefault="00692E4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47F04" w:rsidRDefault="00547F04"/>
          <w:p w:rsidR="00547F04" w:rsidRDefault="00692E49">
            <w:pPr>
              <w:spacing w:after="0" w:line="276" w:lineRule="auto"/>
              <w:jc w:val="center"/>
            </w:pPr>
            <w:r>
              <w:rPr>
                <w:rFonts w:ascii="Times New Roman" w:eastAsia="Times New Roman" w:hAnsi="Times New Roman" w:cs="Times New Roman"/>
                <w:b/>
                <w:sz w:val="26"/>
              </w:rPr>
              <w:t>Phí, lệ phí</w:t>
            </w:r>
          </w:p>
        </w:tc>
        <w:tc>
          <w:tcPr>
            <w:tcW w:w="3000" w:type="dxa"/>
          </w:tcPr>
          <w:p w:rsidR="00547F04" w:rsidRDefault="00547F04"/>
          <w:p w:rsidR="00547F04" w:rsidRDefault="00692E49">
            <w:pPr>
              <w:spacing w:after="0" w:line="276" w:lineRule="auto"/>
              <w:jc w:val="center"/>
            </w:pPr>
            <w:r>
              <w:rPr>
                <w:rFonts w:ascii="Times New Roman" w:eastAsia="Times New Roman" w:hAnsi="Times New Roman" w:cs="Times New Roman"/>
                <w:b/>
                <w:sz w:val="26"/>
              </w:rPr>
              <w:t>Mô tả</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Trực tiếp</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90 Ngày</w:t>
            </w:r>
          </w:p>
        </w:tc>
        <w:tc>
          <w:tcPr>
            <w:tcW w:w="0" w:type="auto"/>
          </w:tcPr>
          <w:p w:rsidR="00547F04" w:rsidRDefault="00547F04"/>
          <w:p w:rsidR="00547F04" w:rsidRDefault="00547F04">
            <w:pPr>
              <w:spacing w:after="0" w:line="276" w:lineRule="auto"/>
            </w:pP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 xml:space="preserve">Theo quy định tại Điều 21 Luật tố cáo: thời hạn giải quyết tố cáo là 60 ngày, kể từ ngày thụ lý giải quyết tố cáo; đối với vụ việc phức tạp thì thời hạn giải quyết là 90 ngày, kể từ ngày thụ lý giải quyết tố cáo. Trường hợp cần thiết, người có thẩm quyền giải quyết tố cáo có thể gia hạn giải quyết một lần nhưng không quá 30 ngày; đối với vụ việc phức tạp thì không quá 60 ngày. </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Dịch vụ bưu chính</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90 Ngày</w:t>
            </w:r>
          </w:p>
        </w:tc>
        <w:tc>
          <w:tcPr>
            <w:tcW w:w="0" w:type="auto"/>
          </w:tcPr>
          <w:p w:rsidR="00547F04" w:rsidRDefault="00547F04"/>
          <w:p w:rsidR="00547F04" w:rsidRDefault="00547F04">
            <w:pPr>
              <w:spacing w:after="0" w:line="276" w:lineRule="auto"/>
            </w:pP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 xml:space="preserve">Theo quy định tại Điều 21 Luật tố cáo: thời hạn giải quyết tố cáo là 60 ngày, kể từ ngày thụ lý giải quyết tố cáo; đối với vụ việc phức tạp thì thời hạn giải quyết là 90 ngày, kể từ ngày thụ lý giải quyết tố cáo. Trường hợp cần thiết, người có thẩm quyền giải quyết tố cáo có thể gia hạn giải quyết một lần nhưng không quá 30 ngày; đối với vụ việc phức tạp thì không quá 60 ngày. </w:t>
            </w:r>
          </w:p>
        </w:tc>
      </w:tr>
    </w:tbl>
    <w:p w:rsidR="00547F04" w:rsidRDefault="00692E49">
      <w:pPr>
        <w:spacing w:before="240" w:after="0" w:line="276" w:lineRule="auto"/>
        <w:jc w:val="both"/>
      </w:pPr>
      <w:r>
        <w:rPr>
          <w:rFonts w:ascii="Times New Roman" w:eastAsia="Times New Roman" w:hAnsi="Times New Roman" w:cs="Times New Roman"/>
          <w:b/>
          <w:sz w:val="26"/>
        </w:rPr>
        <w:t xml:space="preserve">Thành phần hồ sơ: </w:t>
      </w:r>
    </w:p>
    <w:p w:rsidR="00547F04" w:rsidRDefault="00692E49">
      <w:pPr>
        <w:shd w:val="clear" w:color="auto" w:fill="F2F6F9"/>
        <w:spacing w:before="120" w:after="0" w:line="276" w:lineRule="auto"/>
        <w:jc w:val="both"/>
      </w:pPr>
      <w:r>
        <w:rPr>
          <w:rFonts w:ascii="Times New Roman" w:eastAsia="Times New Roman" w:hAnsi="Times New Roman" w:cs="Times New Roman"/>
          <w:b/>
          <w:sz w:val="26"/>
        </w:rPr>
        <w:t>Nhóm 1 gồm các văn bản, tài liệu sau</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622"/>
        <w:gridCol w:w="1897"/>
        <w:gridCol w:w="1906"/>
      </w:tblGrid>
      <w:tr w:rsidR="00547F04">
        <w:tblPrEx>
          <w:tblCellMar>
            <w:top w:w="0" w:type="dxa"/>
            <w:bottom w:w="0" w:type="dxa"/>
          </w:tblCellMar>
        </w:tblPrEx>
        <w:tc>
          <w:tcPr>
            <w:tcW w:w="6000" w:type="dxa"/>
          </w:tcPr>
          <w:p w:rsidR="00547F04" w:rsidRDefault="00547F04"/>
          <w:p w:rsidR="00547F04" w:rsidRDefault="00692E49">
            <w:pPr>
              <w:spacing w:after="0" w:line="276" w:lineRule="auto"/>
              <w:jc w:val="center"/>
            </w:pPr>
            <w:r>
              <w:rPr>
                <w:rFonts w:ascii="Times New Roman" w:eastAsia="Times New Roman" w:hAnsi="Times New Roman" w:cs="Times New Roman"/>
                <w:b/>
                <w:sz w:val="26"/>
              </w:rPr>
              <w:t>Tên giấy tờ</w:t>
            </w:r>
          </w:p>
        </w:tc>
        <w:tc>
          <w:tcPr>
            <w:tcW w:w="2000" w:type="dxa"/>
          </w:tcPr>
          <w:p w:rsidR="00547F04" w:rsidRDefault="00547F04"/>
          <w:p w:rsidR="00547F04" w:rsidRDefault="00692E49">
            <w:pPr>
              <w:spacing w:after="0" w:line="276" w:lineRule="auto"/>
              <w:jc w:val="center"/>
            </w:pPr>
            <w:r>
              <w:rPr>
                <w:rFonts w:ascii="Times New Roman" w:eastAsia="Times New Roman" w:hAnsi="Times New Roman" w:cs="Times New Roman"/>
                <w:b/>
                <w:sz w:val="26"/>
              </w:rPr>
              <w:t>Mẫu đơn, tờ khai</w:t>
            </w:r>
          </w:p>
        </w:tc>
        <w:tc>
          <w:tcPr>
            <w:tcW w:w="2000" w:type="dxa"/>
          </w:tcPr>
          <w:p w:rsidR="00547F04" w:rsidRDefault="00547F04"/>
          <w:p w:rsidR="00547F04" w:rsidRDefault="00692E49">
            <w:pPr>
              <w:spacing w:after="0" w:line="276" w:lineRule="auto"/>
              <w:jc w:val="center"/>
            </w:pPr>
            <w:r>
              <w:rPr>
                <w:rFonts w:ascii="Times New Roman" w:eastAsia="Times New Roman" w:hAnsi="Times New Roman" w:cs="Times New Roman"/>
                <w:b/>
                <w:sz w:val="26"/>
              </w:rPr>
              <w:t>Số lượng</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Kết luận nội dung tố cáo</w:t>
            </w:r>
          </w:p>
        </w:tc>
        <w:tc>
          <w:tcPr>
            <w:tcW w:w="0" w:type="auto"/>
          </w:tcPr>
          <w:p w:rsidR="00547F04" w:rsidRDefault="00547F04"/>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Báo cáo kết quả thẩm tra, xác minh nội dung tố cáo</w:t>
            </w:r>
          </w:p>
        </w:tc>
        <w:tc>
          <w:tcPr>
            <w:tcW w:w="0" w:type="auto"/>
          </w:tcPr>
          <w:p w:rsidR="00547F04" w:rsidRDefault="00547F04"/>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Đơn tố cáo hoặc Biên bản ghi nội dung tố cáo trực tiếp</w:t>
            </w:r>
          </w:p>
        </w:tc>
        <w:tc>
          <w:tcPr>
            <w:tcW w:w="0" w:type="auto"/>
          </w:tcPr>
          <w:p w:rsidR="00547F04" w:rsidRDefault="00547F04"/>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Quyết định thụ lý, Quyết định thành lập Tổ xác minh</w:t>
            </w:r>
          </w:p>
        </w:tc>
        <w:tc>
          <w:tcPr>
            <w:tcW w:w="0" w:type="auto"/>
          </w:tcPr>
          <w:p w:rsidR="00547F04" w:rsidRDefault="00547F04"/>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Kế hoạch xác minh tố cáo</w:t>
            </w:r>
          </w:p>
        </w:tc>
        <w:tc>
          <w:tcPr>
            <w:tcW w:w="0" w:type="auto"/>
          </w:tcPr>
          <w:p w:rsidR="00547F04" w:rsidRDefault="00547F04"/>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Các văn bản thông báo, xử lý, kiến nghị xử lý tố cáo</w:t>
            </w:r>
          </w:p>
        </w:tc>
        <w:tc>
          <w:tcPr>
            <w:tcW w:w="0" w:type="auto"/>
          </w:tcPr>
          <w:p w:rsidR="00547F04" w:rsidRDefault="00547F04"/>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47F04" w:rsidRDefault="00692E49">
      <w:pPr>
        <w:shd w:val="clear" w:color="auto" w:fill="F2F6F9"/>
        <w:spacing w:before="120" w:after="0" w:line="276" w:lineRule="auto"/>
        <w:jc w:val="both"/>
      </w:pPr>
      <w:r>
        <w:rPr>
          <w:rFonts w:ascii="Times New Roman" w:eastAsia="Times New Roman" w:hAnsi="Times New Roman" w:cs="Times New Roman"/>
          <w:b/>
          <w:sz w:val="26"/>
        </w:rPr>
        <w:t>Nhóm 2 gồm các văn bản, tài liệu sau</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835"/>
        <w:gridCol w:w="1785"/>
        <w:gridCol w:w="1805"/>
      </w:tblGrid>
      <w:tr w:rsidR="00547F04">
        <w:tblPrEx>
          <w:tblCellMar>
            <w:top w:w="0" w:type="dxa"/>
            <w:bottom w:w="0" w:type="dxa"/>
          </w:tblCellMar>
        </w:tblPrEx>
        <w:tc>
          <w:tcPr>
            <w:tcW w:w="6000" w:type="dxa"/>
          </w:tcPr>
          <w:p w:rsidR="00547F04" w:rsidRDefault="00547F04"/>
          <w:p w:rsidR="00547F04" w:rsidRDefault="00692E49">
            <w:pPr>
              <w:spacing w:after="0" w:line="276" w:lineRule="auto"/>
              <w:jc w:val="center"/>
            </w:pPr>
            <w:r>
              <w:rPr>
                <w:rFonts w:ascii="Times New Roman" w:eastAsia="Times New Roman" w:hAnsi="Times New Roman" w:cs="Times New Roman"/>
                <w:b/>
                <w:sz w:val="26"/>
              </w:rPr>
              <w:t>Tên giấy tờ</w:t>
            </w:r>
          </w:p>
        </w:tc>
        <w:tc>
          <w:tcPr>
            <w:tcW w:w="2000" w:type="dxa"/>
          </w:tcPr>
          <w:p w:rsidR="00547F04" w:rsidRDefault="00547F04"/>
          <w:p w:rsidR="00547F04" w:rsidRDefault="00692E49">
            <w:pPr>
              <w:spacing w:after="0" w:line="276" w:lineRule="auto"/>
              <w:jc w:val="center"/>
            </w:pPr>
            <w:r>
              <w:rPr>
                <w:rFonts w:ascii="Times New Roman" w:eastAsia="Times New Roman" w:hAnsi="Times New Roman" w:cs="Times New Roman"/>
                <w:b/>
                <w:sz w:val="26"/>
              </w:rPr>
              <w:t>Mẫu đơn, tờ khai</w:t>
            </w:r>
          </w:p>
        </w:tc>
        <w:tc>
          <w:tcPr>
            <w:tcW w:w="2000" w:type="dxa"/>
          </w:tcPr>
          <w:p w:rsidR="00547F04" w:rsidRDefault="00547F04"/>
          <w:p w:rsidR="00547F04" w:rsidRDefault="00692E49">
            <w:pPr>
              <w:spacing w:after="0" w:line="276" w:lineRule="auto"/>
              <w:jc w:val="center"/>
            </w:pPr>
            <w:r>
              <w:rPr>
                <w:rFonts w:ascii="Times New Roman" w:eastAsia="Times New Roman" w:hAnsi="Times New Roman" w:cs="Times New Roman"/>
                <w:b/>
                <w:sz w:val="26"/>
              </w:rPr>
              <w:t>Số lượng</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Văn bản giải trình của người bị tố cáo;</w:t>
            </w:r>
          </w:p>
        </w:tc>
        <w:tc>
          <w:tcPr>
            <w:tcW w:w="0" w:type="auto"/>
          </w:tcPr>
          <w:p w:rsidR="00547F04" w:rsidRDefault="00547F04"/>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Các biên bản làm việc; văn bản, tài liệu, chứng cứ thu thập được</w:t>
            </w:r>
          </w:p>
        </w:tc>
        <w:tc>
          <w:tcPr>
            <w:tcW w:w="0" w:type="auto"/>
          </w:tcPr>
          <w:p w:rsidR="00547F04" w:rsidRDefault="00547F04"/>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Các tài liệu khác có liên quan đến nội dung tố cáo</w:t>
            </w:r>
          </w:p>
        </w:tc>
        <w:tc>
          <w:tcPr>
            <w:tcW w:w="0" w:type="auto"/>
          </w:tcPr>
          <w:p w:rsidR="00547F04" w:rsidRDefault="00547F04"/>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47F04" w:rsidRDefault="00692E4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rsidR="00547F04" w:rsidRDefault="00692E4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Thanh tra Bộ</w:t>
      </w:r>
    </w:p>
    <w:p w:rsidR="00547F04" w:rsidRDefault="00692E4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an</w:t>
      </w:r>
    </w:p>
    <w:p w:rsidR="00547F04" w:rsidRDefault="00692E4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Thanh tra Bộ; thanh tra các tổng cục, bộ tư lệnh, đơn vị thuộc Bộ hoặc trực thuộc tổng cục, bộ tư lệnh.</w:t>
      </w:r>
    </w:p>
    <w:p w:rsidR="00547F04" w:rsidRDefault="00692E4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47F04" w:rsidRDefault="00692E4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47F04" w:rsidRDefault="00692E4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Kết luận nội dung tố cáo và quyết định xử lý hành vi vi phạm bị tố cáo.</w:t>
      </w:r>
    </w:p>
    <w:p w:rsidR="00547F04" w:rsidRDefault="00692E4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10"/>
        <w:gridCol w:w="5408"/>
        <w:gridCol w:w="891"/>
        <w:gridCol w:w="1416"/>
      </w:tblGrid>
      <w:tr w:rsidR="00547F04">
        <w:tblPrEx>
          <w:tblCellMar>
            <w:top w:w="0" w:type="dxa"/>
            <w:bottom w:w="0" w:type="dxa"/>
          </w:tblCellMar>
        </w:tblPrEx>
        <w:tc>
          <w:tcPr>
            <w:tcW w:w="2000" w:type="dxa"/>
          </w:tcPr>
          <w:p w:rsidR="00547F04" w:rsidRDefault="00547F04"/>
          <w:p w:rsidR="00547F04" w:rsidRDefault="00692E49">
            <w:pPr>
              <w:spacing w:after="0" w:line="276" w:lineRule="auto"/>
              <w:jc w:val="center"/>
            </w:pPr>
            <w:r>
              <w:rPr>
                <w:rFonts w:ascii="Times New Roman" w:eastAsia="Times New Roman" w:hAnsi="Times New Roman" w:cs="Times New Roman"/>
                <w:b/>
                <w:sz w:val="26"/>
              </w:rPr>
              <w:t>Số ký hiệu</w:t>
            </w:r>
          </w:p>
        </w:tc>
        <w:tc>
          <w:tcPr>
            <w:tcW w:w="3500" w:type="dxa"/>
          </w:tcPr>
          <w:p w:rsidR="00547F04" w:rsidRDefault="00547F04"/>
          <w:p w:rsidR="00547F04" w:rsidRDefault="00692E49">
            <w:pPr>
              <w:spacing w:after="0" w:line="276" w:lineRule="auto"/>
              <w:jc w:val="center"/>
            </w:pPr>
            <w:r>
              <w:rPr>
                <w:rFonts w:ascii="Times New Roman" w:eastAsia="Times New Roman" w:hAnsi="Times New Roman" w:cs="Times New Roman"/>
                <w:b/>
                <w:sz w:val="26"/>
              </w:rPr>
              <w:t>Trích yếu</w:t>
            </w:r>
          </w:p>
        </w:tc>
        <w:tc>
          <w:tcPr>
            <w:tcW w:w="1500" w:type="dxa"/>
          </w:tcPr>
          <w:p w:rsidR="00547F04" w:rsidRDefault="00547F04"/>
          <w:p w:rsidR="00547F04" w:rsidRDefault="00692E49">
            <w:pPr>
              <w:spacing w:after="0" w:line="276" w:lineRule="auto"/>
              <w:jc w:val="center"/>
            </w:pPr>
            <w:r>
              <w:rPr>
                <w:rFonts w:ascii="Times New Roman" w:eastAsia="Times New Roman" w:hAnsi="Times New Roman" w:cs="Times New Roman"/>
                <w:b/>
                <w:sz w:val="26"/>
              </w:rPr>
              <w:t>Ngày ban hành</w:t>
            </w:r>
          </w:p>
        </w:tc>
        <w:tc>
          <w:tcPr>
            <w:tcW w:w="3000" w:type="dxa"/>
          </w:tcPr>
          <w:p w:rsidR="00547F04" w:rsidRDefault="00547F04"/>
          <w:p w:rsidR="00547F04" w:rsidRDefault="00692E49">
            <w:pPr>
              <w:spacing w:after="0" w:line="276" w:lineRule="auto"/>
              <w:jc w:val="center"/>
            </w:pPr>
            <w:r>
              <w:rPr>
                <w:rFonts w:ascii="Times New Roman" w:eastAsia="Times New Roman" w:hAnsi="Times New Roman" w:cs="Times New Roman"/>
                <w:b/>
                <w:sz w:val="26"/>
              </w:rPr>
              <w:t>Cơ quan ban hành</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03/2011/QH13</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Luật 03/2011/QH13</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11-11-2011</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Quốc Hội</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76/2012/NĐ-CP</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Nghị định 76/2012/NĐ-CP - Quy định chi tiết thi hành một số điều của Luật Tố cáo</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03-10-2012</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Chính phủ</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91/2013/NĐ-CP</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Nghị định 91/2013/NĐ-CP - Quy định về tố cáo và giải quyết tố cáo trong Công an nhân dân</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12-08-2013</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Chính phủ</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10/2014/TT-BCA</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Thông tư 10/2014/TT-BCA - Quy định việc xử lý, giải quyết tố cáo và quản lý công tác giải quyết tố cáo trong công an nhân dân</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04-03-2014</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Bộ Công an</w:t>
            </w:r>
          </w:p>
        </w:tc>
      </w:tr>
      <w:tr w:rsidR="00547F04">
        <w:tblPrEx>
          <w:tblCellMar>
            <w:top w:w="0" w:type="dxa"/>
            <w:bottom w:w="0" w:type="dxa"/>
          </w:tblCellMar>
        </w:tblPrEx>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12/2015/TT-BCA</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Thông tư 12/2015/TT-BCA - Quy định quy trình giải quyết tố cáo trong Công an nhân dân</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02-03-2015</w:t>
            </w:r>
          </w:p>
        </w:tc>
        <w:tc>
          <w:tcPr>
            <w:tcW w:w="0" w:type="auto"/>
          </w:tcPr>
          <w:p w:rsidR="00547F04" w:rsidRDefault="00547F04"/>
          <w:p w:rsidR="00547F04" w:rsidRDefault="00692E49">
            <w:pPr>
              <w:spacing w:after="0" w:line="276" w:lineRule="auto"/>
            </w:pPr>
            <w:r>
              <w:rPr>
                <w:rFonts w:ascii="Times New Roman" w:eastAsia="Times New Roman" w:hAnsi="Times New Roman" w:cs="Times New Roman"/>
                <w:sz w:val="26"/>
              </w:rPr>
              <w:t>Bộ Công an</w:t>
            </w:r>
          </w:p>
        </w:tc>
      </w:tr>
    </w:tbl>
    <w:p w:rsidR="00547F04" w:rsidRDefault="00692E4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quy định tại Khoản 2 Điều 20 Luật Tố cáo: Người có thẩm quyền không thụ lý giải quyết tố cáo trong các trường hợp sau đây:  a) Tố cáo về vụ việc đã được người đó giải quyết mà người tố cáo không cung cấp thông tin, tình tiết mới;  b) Tố cáo về vụ việc mà nội dung và những thông tin người tố cáo cung cấp không có cơ sở để xác định người vi phạm, hành vi vi phạm pháp luật;  c) Tố cáo về vụ việc mà người có thẩm quyền giải quyết tố cáo không đủ điều kiện để kiểm tra, xác minh hành vi vi phạm pháp luật, ng</w:t>
      </w:r>
      <w:r>
        <w:rPr>
          <w:rFonts w:ascii="Times New Roman" w:eastAsia="Times New Roman" w:hAnsi="Times New Roman" w:cs="Times New Roman"/>
          <w:sz w:val="26"/>
        </w:rPr>
        <w:t>ười vi phạm.</w:t>
      </w:r>
    </w:p>
    <w:p w:rsidR="00547F04" w:rsidRDefault="00692E4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Khiếu nại tố cáo</w:t>
      </w:r>
    </w:p>
    <w:p w:rsidR="00547F04" w:rsidRDefault="00692E4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https://thutuc.dichvucong.gov.vn/p/home/dvc-tthc-thu-tuc-hanh-chinh-chi-tiet.html?ma_thu_tuc=5030</w:t>
      </w:r>
    </w:p>
    <w:sectPr w:rsidR="00547F0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47F04"/>
    <w:rsid w:val="00547F04"/>
    <w:rsid w:val="00692E49"/>
    <w:rsid w:val="00AA2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4F07EE-A6C6-426D-8CF9-DF93DBDB4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1429</Words>
  <Characters>8147</Characters>
  <Application>Microsoft Office Word</Application>
  <DocSecurity>0</DocSecurity>
  <Lines>67</Lines>
  <Paragraphs>19</Paragraphs>
  <ScaleCrop>false</ScaleCrop>
  <Company/>
  <LinksUpToDate>false</LinksUpToDate>
  <CharactersWithSpaces>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2025-11-24T08:35:00Z</dcterms:created>
  <dcterms:modified xsi:type="dcterms:W3CDTF">2025-11-24T08:35:00Z</dcterms:modified>
</cp:coreProperties>
</file>