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25DD" w:rsidRDefault="00604DC4">
      <w:pPr>
        <w:spacing w:after="300" w:line="276" w:lineRule="auto"/>
        <w:jc w:val="center"/>
      </w:pPr>
      <w:r>
        <w:rPr>
          <w:rFonts w:ascii="Times New Roman" w:eastAsia="Times New Roman" w:hAnsi="Times New Roman" w:cs="Times New Roman"/>
          <w:b/>
          <w:sz w:val="26"/>
        </w:rPr>
        <w:t>Chi tiết thủ tục hành chính</w:t>
      </w:r>
    </w:p>
    <w:p w:rsidR="007C25DD" w:rsidRDefault="00604DC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1.004198</w:t>
      </w:r>
    </w:p>
    <w:p w:rsidR="007C25DD" w:rsidRDefault="00604DC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7C25DD" w:rsidRDefault="00604DC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hưởng trợ cấp hàng tháng hoặc trợ cấp một lần đối với Bệnh binh tại Công an cấp tỉnh</w:t>
      </w:r>
    </w:p>
    <w:p w:rsidR="007C25DD" w:rsidRDefault="00604DC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C25DD" w:rsidRDefault="00604DC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C25DD" w:rsidRDefault="00604DC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7C25DD" w:rsidRDefault="00604DC4">
      <w:pPr>
        <w:spacing w:after="0" w:line="276" w:lineRule="auto"/>
        <w:jc w:val="both"/>
      </w:pPr>
      <w:r>
        <w:rPr>
          <w:rFonts w:ascii="Times New Roman" w:eastAsia="Times New Roman" w:hAnsi="Times New Roman" w:cs="Times New Roman"/>
          <w:b/>
          <w:sz w:val="26"/>
        </w:rPr>
        <w:t xml:space="preserve">Trình tự thực hiện: </w:t>
      </w:r>
    </w:p>
    <w:p w:rsidR="007C25DD" w:rsidRDefault="00604DC4">
      <w:pPr>
        <w:shd w:val="clear" w:color="auto" w:fill="F2F6F9"/>
        <w:spacing w:before="120" w:after="0" w:line="276" w:lineRule="auto"/>
        <w:jc w:val="both"/>
      </w:pPr>
      <w:r>
        <w:rPr>
          <w:rFonts w:ascii="Times New Roman" w:eastAsia="Times New Roman" w:hAnsi="Times New Roman" w:cs="Times New Roman"/>
          <w:b/>
          <w:sz w:val="26"/>
        </w:rPr>
        <w:t>2. Đối với người mắc bệnh đã xuất ngũ mà bệnh cũ tái phát dẫn đến tâm thần, trình tự thực hiện như sau:</w:t>
      </w:r>
    </w:p>
    <w:p w:rsidR="007C25DD" w:rsidRDefault="00604DC4">
      <w:pPr>
        <w:spacing w:after="0" w:line="276" w:lineRule="auto"/>
        <w:jc w:val="both"/>
      </w:pPr>
      <w:r>
        <w:rPr>
          <w:rFonts w:ascii="Times New Roman" w:eastAsia="Times New Roman" w:hAnsi="Times New Roman" w:cs="Times New Roman"/>
          <w:sz w:val="26"/>
        </w:rPr>
        <w:t>a) Cá nhân hoặc thân nhân làm đơn đề nghị giải quyết chế độ bệnh binh kèm giấy tờ quy định gửi Ủy ban nhân dân cấp xã nơi cư trú để xác minh, lập biên bản đề nghị xác nhận bệnh binh;</w:t>
      </w:r>
    </w:p>
    <w:p w:rsidR="007C25DD" w:rsidRDefault="00604DC4">
      <w:pPr>
        <w:spacing w:after="0" w:line="276" w:lineRule="auto"/>
        <w:jc w:val="both"/>
      </w:pPr>
      <w:r>
        <w:rPr>
          <w:rFonts w:ascii="Times New Roman" w:eastAsia="Times New Roman" w:hAnsi="Times New Roman" w:cs="Times New Roman"/>
          <w:sz w:val="26"/>
        </w:rPr>
        <w:t>b) Gửi biên bản đề nghị xác nhận bệnh binh của Ủy ban nhân dân cấp xã kèm các giấy tờ quy định đến Công an đơn vị, địa phương nơi công tác trước khi xuất ngũ của người mắc bệnh;</w:t>
      </w:r>
    </w:p>
    <w:p w:rsidR="007C25DD" w:rsidRDefault="00604DC4">
      <w:pPr>
        <w:spacing w:after="0" w:line="276" w:lineRule="auto"/>
        <w:jc w:val="both"/>
      </w:pPr>
      <w:r>
        <w:rPr>
          <w:rFonts w:ascii="Times New Roman" w:eastAsia="Times New Roman" w:hAnsi="Times New Roman" w:cs="Times New Roman"/>
          <w:sz w:val="26"/>
        </w:rPr>
        <w:t>c) Công an đơn vị, địa phương tiếp nhận các giấy tờ và hoàn thiện hồ sơ theo quy định, gửi 01 bộ về Cục Chính sách. Cục Chính sách tiếp nhận và tổ chức xét duyệt hồ sơ đề nghị xác nhận bệnh binh của Công an đơn vị, địa phương. Nếu đủ điều kiện theo quy định thì ký Quyết định cấp giấy chứng nhận bệnh binh và trợ cấp hàng tháng (mẫu BB3). Chuyển quyết định về Công an đơn vị, địa phương nơi lập hồ sơ để thông báo cho đối tượng biết; gửi quyết định và 01 bộ hồ sơ theo quy định tại Điều 16 Thông tư này cho Sở La</w:t>
      </w:r>
      <w:r>
        <w:rPr>
          <w:rFonts w:ascii="Times New Roman" w:eastAsia="Times New Roman" w:hAnsi="Times New Roman" w:cs="Times New Roman"/>
          <w:sz w:val="26"/>
        </w:rPr>
        <w:t>o động - Thương binh và Xã hội nơi cư trú của bệnh binh quản lý và thực hiện chế độ theo quy định.</w:t>
      </w:r>
    </w:p>
    <w:p w:rsidR="007C25DD" w:rsidRDefault="00604DC4">
      <w:pPr>
        <w:shd w:val="clear" w:color="auto" w:fill="F2F6F9"/>
        <w:spacing w:before="120" w:after="0" w:line="276" w:lineRule="auto"/>
        <w:jc w:val="both"/>
      </w:pPr>
      <w:r>
        <w:rPr>
          <w:rFonts w:ascii="Times New Roman" w:eastAsia="Times New Roman" w:hAnsi="Times New Roman" w:cs="Times New Roman"/>
          <w:b/>
          <w:sz w:val="26"/>
        </w:rPr>
        <w:t>1. Đối với cán bộ, chiến sĩ đang công tác, thực hiện theo trình tự sau:</w:t>
      </w:r>
    </w:p>
    <w:p w:rsidR="007C25DD" w:rsidRDefault="00604DC4">
      <w:pPr>
        <w:spacing w:after="0" w:line="276" w:lineRule="auto"/>
        <w:jc w:val="both"/>
      </w:pPr>
      <w:r>
        <w:rPr>
          <w:rFonts w:ascii="Times New Roman" w:eastAsia="Times New Roman" w:hAnsi="Times New Roman" w:cs="Times New Roman"/>
          <w:sz w:val="26"/>
        </w:rPr>
        <w:t>a) Công an đơn vị, địa phương: + Cấp Giấy chứng nhận bệnh tật; + Giới thiệu cán bộ, chiến sĩ thuộc đơn vị đến Hội đồng giám định y khoa có thẩm quyền để giám định bệnh tật; + Lập hồ sơ đề nghị xác nhận theo quy định tại Điều 16 Thông tư số 61/2013/TT-BCA, ngày 20/11/2013 của Bộ Công an quy định chi tiết về thực hiện chế độ ưu đãi người có công với cách mạng trong Công an nhân dân, gửi 01 bộ về Cục Chính sách, Tổng cục Chính trị Công an nhân dân.</w:t>
      </w:r>
    </w:p>
    <w:p w:rsidR="007C25DD" w:rsidRDefault="00604DC4">
      <w:pPr>
        <w:spacing w:after="0" w:line="276" w:lineRule="auto"/>
        <w:jc w:val="both"/>
      </w:pPr>
      <w:r>
        <w:rPr>
          <w:rFonts w:ascii="Times New Roman" w:eastAsia="Times New Roman" w:hAnsi="Times New Roman" w:cs="Times New Roman"/>
          <w:sz w:val="26"/>
        </w:rPr>
        <w:t>b) Cục Chính sách:  + Tiếp nhận và tổ chức xét duyệt hồ sơ đề nghị xác nhận bệnh binh của Công an đơn vị, địa phương. Nếu đủ điều kiện theo quy định thì ký Quyết định cấp giấy chứng nhận bệnh binh và trợ cấp hàng tháng (mẫu BB3).  + Chuyển quyết định về Công an đơn vị, địa phương nơi lập hồ sơ để thông báo cho đối tượng biết; gửi quyết định và 01 bộ hồ sơ theo quy định tại Điều 16 Thông tư này cho Sở Lao động - Thương binh và Xã hội nơi cư trú của bệnh binh quản lý và thực hiện chế độ theo quy định.</w:t>
      </w:r>
    </w:p>
    <w:p w:rsidR="007C25DD" w:rsidRDefault="00604DC4">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17"/>
        <w:gridCol w:w="2118"/>
        <w:gridCol w:w="1567"/>
        <w:gridCol w:w="4809"/>
      </w:tblGrid>
      <w:tr w:rsidR="007C25DD">
        <w:tblPrEx>
          <w:tblCellMar>
            <w:top w:w="0" w:type="dxa"/>
            <w:bottom w:w="0" w:type="dxa"/>
          </w:tblCellMar>
        </w:tblPrEx>
        <w:tc>
          <w:tcPr>
            <w:tcW w:w="15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Hình thức nộp</w:t>
            </w:r>
          </w:p>
        </w:tc>
        <w:tc>
          <w:tcPr>
            <w:tcW w:w="2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Phí, lệ phí</w:t>
            </w:r>
          </w:p>
        </w:tc>
        <w:tc>
          <w:tcPr>
            <w:tcW w:w="3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Mô tả</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Trực tiếp</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 xml:space="preserve">chưa quy định cụ thể về thời gian giải quyết.  </w:t>
            </w:r>
          </w:p>
        </w:tc>
        <w:tc>
          <w:tcPr>
            <w:tcW w:w="0" w:type="auto"/>
          </w:tcPr>
          <w:p w:rsidR="007C25DD" w:rsidRDefault="007C25DD"/>
          <w:p w:rsidR="007C25DD" w:rsidRDefault="007C25DD">
            <w:pPr>
              <w:spacing w:after="0" w:line="276" w:lineRule="auto"/>
            </w:pP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 xml:space="preserve">Trực tiếp tại Công an đơn vị, địa phương có thẩm quyền. Thời gian: chưa quy định cụ thể về thời gian giải quyết. </w:t>
            </w:r>
          </w:p>
        </w:tc>
      </w:tr>
    </w:tbl>
    <w:p w:rsidR="007C25DD" w:rsidRDefault="00604DC4">
      <w:pPr>
        <w:spacing w:before="240" w:after="0" w:line="276" w:lineRule="auto"/>
        <w:jc w:val="both"/>
      </w:pPr>
      <w:r>
        <w:rPr>
          <w:rFonts w:ascii="Times New Roman" w:eastAsia="Times New Roman" w:hAnsi="Times New Roman" w:cs="Times New Roman"/>
          <w:b/>
          <w:sz w:val="26"/>
        </w:rPr>
        <w:t xml:space="preserve">Thành phần hồ sơ: </w:t>
      </w:r>
    </w:p>
    <w:p w:rsidR="007C25DD" w:rsidRDefault="00604DC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176"/>
        <w:gridCol w:w="2872"/>
        <w:gridCol w:w="1363"/>
      </w:tblGrid>
      <w:tr w:rsidR="007C25DD">
        <w:tblPrEx>
          <w:tblCellMar>
            <w:top w:w="0" w:type="dxa"/>
            <w:bottom w:w="0" w:type="dxa"/>
          </w:tblCellMar>
        </w:tblPrEx>
        <w:tc>
          <w:tcPr>
            <w:tcW w:w="6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Tên giấy tờ</w:t>
            </w:r>
          </w:p>
        </w:tc>
        <w:tc>
          <w:tcPr>
            <w:tcW w:w="2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Mẫu đơn, tờ khai</w:t>
            </w:r>
          </w:p>
        </w:tc>
        <w:tc>
          <w:tcPr>
            <w:tcW w:w="2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t>Số lượng</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Giấy chứng nhận bệnh tật của Công an đơn vị, địa phương (mẫu BB1)</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77-Mẫu BV1-Giấy chứng nhận bệnh tật.doc</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Giấy tờ làm căn cứ cấp giấy chứng nhận bệnh tật theo quy định</w:t>
            </w:r>
          </w:p>
        </w:tc>
        <w:tc>
          <w:tcPr>
            <w:tcW w:w="0" w:type="auto"/>
          </w:tcPr>
          <w:p w:rsidR="007C25DD" w:rsidRDefault="007C25DD"/>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Biên bản giám định bệnh tật của Hội đồng Giám định y khoa có thẩm quyền (mẫu BB2)</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78-Mẫu BB2-Biên bản giám định bệnh tật.doc</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Văn bản đề nghị của Công an đơn vị, địa phương</w:t>
            </w:r>
          </w:p>
        </w:tc>
        <w:tc>
          <w:tcPr>
            <w:tcW w:w="0" w:type="auto"/>
          </w:tcPr>
          <w:p w:rsidR="007C25DD" w:rsidRDefault="007C25DD"/>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C25DD" w:rsidRDefault="00604DC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rsidR="007C25DD" w:rsidRDefault="00604DC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7C25DD" w:rsidRDefault="00604DC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Cục Chính sách</w:t>
      </w:r>
    </w:p>
    <w:p w:rsidR="007C25DD" w:rsidRDefault="00604DC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các đơn vị, địa phương có thẩm quyền.</w:t>
      </w:r>
    </w:p>
    <w:p w:rsidR="007C25DD" w:rsidRDefault="00604DC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C25DD" w:rsidRDefault="00604DC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C25DD" w:rsidRDefault="00604DC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hành chính</w:t>
      </w:r>
    </w:p>
    <w:p w:rsidR="007C25DD" w:rsidRDefault="00604DC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398"/>
        <w:gridCol w:w="4396"/>
        <w:gridCol w:w="857"/>
        <w:gridCol w:w="1760"/>
      </w:tblGrid>
      <w:tr w:rsidR="007C25DD">
        <w:tblPrEx>
          <w:tblCellMar>
            <w:top w:w="0" w:type="dxa"/>
            <w:bottom w:w="0" w:type="dxa"/>
          </w:tblCellMar>
        </w:tblPrEx>
        <w:tc>
          <w:tcPr>
            <w:tcW w:w="2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7C25DD" w:rsidRDefault="007C25DD"/>
          <w:p w:rsidR="007C25DD" w:rsidRDefault="00604DC4">
            <w:pPr>
              <w:spacing w:after="0" w:line="276" w:lineRule="auto"/>
              <w:jc w:val="center"/>
            </w:pPr>
            <w:r>
              <w:rPr>
                <w:rFonts w:ascii="Times New Roman" w:eastAsia="Times New Roman" w:hAnsi="Times New Roman" w:cs="Times New Roman"/>
                <w:b/>
                <w:sz w:val="26"/>
              </w:rPr>
              <w:lastRenderedPageBreak/>
              <w:t>Cơ quan ban hành</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26/2005/PL-UBTVQH11</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Pháp lệnh 26/2005/PL-UBTVQH11  Ưu đãi người có công với cách mạng</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29-06-2005</w:t>
            </w:r>
          </w:p>
        </w:tc>
        <w:tc>
          <w:tcPr>
            <w:tcW w:w="0" w:type="auto"/>
          </w:tcPr>
          <w:p w:rsidR="007C25DD" w:rsidRDefault="007C25DD"/>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04/2012/UBTVQH13</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Sửa đổi, bổ sung một số điều của Pháp lệnh ưu đãi người có công với cách mạng</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16-07-2012</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Ủy ban thường vụ quốc hội</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31/2013/NĐ-CP</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Hướng dẫn Pháp lệnh ưu đãi người có công với cách mạng</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09-04-2013</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Chính phủ</w:t>
            </w:r>
          </w:p>
        </w:tc>
      </w:tr>
      <w:tr w:rsidR="007C25DD">
        <w:tblPrEx>
          <w:tblCellMar>
            <w:top w:w="0" w:type="dxa"/>
            <w:bottom w:w="0" w:type="dxa"/>
          </w:tblCellMar>
        </w:tblPrEx>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05/2013/TT-BLĐTBXH</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Hướng dẫn về thủ tục lập hồ sơ, quản lý hồ sơ, thực hiện chế độ ưu đãi người có công với cách mạng và thân nhân</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15-05-2013</w:t>
            </w:r>
          </w:p>
        </w:tc>
        <w:tc>
          <w:tcPr>
            <w:tcW w:w="0" w:type="auto"/>
          </w:tcPr>
          <w:p w:rsidR="007C25DD" w:rsidRDefault="007C25DD"/>
          <w:p w:rsidR="007C25DD" w:rsidRDefault="00604DC4">
            <w:pPr>
              <w:spacing w:after="0" w:line="276" w:lineRule="auto"/>
            </w:pPr>
            <w:r>
              <w:rPr>
                <w:rFonts w:ascii="Times New Roman" w:eastAsia="Times New Roman" w:hAnsi="Times New Roman" w:cs="Times New Roman"/>
                <w:sz w:val="26"/>
              </w:rPr>
              <w:t>Bộ Lao động - Thương binh và Xã hội</w:t>
            </w:r>
          </w:p>
        </w:tc>
      </w:tr>
    </w:tbl>
    <w:p w:rsidR="007C25DD" w:rsidRDefault="00604DC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áp dụng đúng đối tượng quy định tại Thông tư số 61/2013/TT-BCA, ngày 20/11/2013 của Bộ Công an quy định chi tiết về thực hiện chế độ ưu đãi người có công với cách mạng trong Công an nhân dân.</w:t>
      </w:r>
    </w:p>
    <w:p w:rsidR="007C25DD" w:rsidRDefault="00604DC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C25DD" w:rsidRDefault="00604DC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https://thutuc.dichvucong.gov.vn/p/home/dvc-tthc-thu-tuc-hanh-chinh-chi-tiet.html?ma_thu_tuc=5980</w:t>
      </w:r>
    </w:p>
    <w:sectPr w:rsidR="007C25D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25DD"/>
    <w:rsid w:val="00604DC4"/>
    <w:rsid w:val="007C25DD"/>
    <w:rsid w:val="00D60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098CFF-572F-485B-BC13-FBA81916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2025-11-24T08:39:00Z</dcterms:created>
  <dcterms:modified xsi:type="dcterms:W3CDTF">2025-11-24T08:39:00Z</dcterms:modified>
</cp:coreProperties>
</file>