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5844" w:rsidRDefault="001E5AF4">
      <w:pPr>
        <w:spacing w:after="300" w:line="276" w:lineRule="auto"/>
        <w:jc w:val="center"/>
      </w:pPr>
      <w:r>
        <w:rPr>
          <w:rFonts w:ascii="Times New Roman" w:eastAsia="Times New Roman" w:hAnsi="Times New Roman" w:cs="Times New Roman"/>
          <w:b/>
          <w:sz w:val="26"/>
        </w:rPr>
        <w:t>Chi tiết thủ tục hành chính</w:t>
      </w:r>
    </w:p>
    <w:p w:rsidR="00635844" w:rsidRDefault="001E5AF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1.004205</w:t>
      </w:r>
    </w:p>
    <w:p w:rsidR="00635844" w:rsidRDefault="001E5AF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rsidR="00635844" w:rsidRDefault="001E5AF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Xét trợ cấp đối với người hoạt động kháng chiến bị nhiễm chất độc hoá học tại Công an cấp tỉnh</w:t>
      </w:r>
    </w:p>
    <w:p w:rsidR="00635844" w:rsidRDefault="001E5AF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635844" w:rsidRDefault="001E5AF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635844" w:rsidRDefault="001E5AF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Chính sách</w:t>
      </w:r>
    </w:p>
    <w:p w:rsidR="00635844" w:rsidRDefault="001E5AF4">
      <w:pPr>
        <w:spacing w:after="0" w:line="276" w:lineRule="auto"/>
        <w:jc w:val="both"/>
      </w:pPr>
      <w:r>
        <w:rPr>
          <w:rFonts w:ascii="Times New Roman" w:eastAsia="Times New Roman" w:hAnsi="Times New Roman" w:cs="Times New Roman"/>
          <w:b/>
          <w:sz w:val="26"/>
        </w:rPr>
        <w:t xml:space="preserve">Trình tự thực hiện: </w:t>
      </w:r>
    </w:p>
    <w:p w:rsidR="00635844" w:rsidRDefault="001E5AF4">
      <w:pPr>
        <w:shd w:val="clear" w:color="auto" w:fill="F2F6F9"/>
        <w:spacing w:before="120" w:after="0" w:line="276" w:lineRule="auto"/>
        <w:jc w:val="both"/>
      </w:pPr>
      <w:r>
        <w:rPr>
          <w:rFonts w:ascii="Times New Roman" w:eastAsia="Times New Roman" w:hAnsi="Times New Roman" w:cs="Times New Roman"/>
          <w:b/>
          <w:sz w:val="26"/>
        </w:rPr>
        <w:t>1. Đối với người hoạt động kháng chiến bị nhiễm chất độc hóa học đang công tác trong Công an nhân dân:</w:t>
      </w:r>
    </w:p>
    <w:p w:rsidR="00635844" w:rsidRDefault="001E5AF4">
      <w:pPr>
        <w:spacing w:after="0" w:line="276" w:lineRule="auto"/>
        <w:jc w:val="both"/>
      </w:pPr>
      <w:r>
        <w:rPr>
          <w:rFonts w:ascii="Times New Roman" w:eastAsia="Times New Roman" w:hAnsi="Times New Roman" w:cs="Times New Roman"/>
          <w:sz w:val="26"/>
        </w:rPr>
        <w:t>a) Người hoạt động kháng chiến bị nhiễm chất độc hóa học lập bản khai cá nhân kèm các giấy tờ quy định gửi Công an đơn vị, địa phương nơi công tác.</w:t>
      </w:r>
    </w:p>
    <w:p w:rsidR="00635844" w:rsidRDefault="001E5AF4">
      <w:pPr>
        <w:spacing w:after="0" w:line="276" w:lineRule="auto"/>
        <w:jc w:val="both"/>
      </w:pPr>
      <w:r>
        <w:rPr>
          <w:rFonts w:ascii="Times New Roman" w:eastAsia="Times New Roman" w:hAnsi="Times New Roman" w:cs="Times New Roman"/>
          <w:sz w:val="26"/>
        </w:rPr>
        <w:t>b) Công an đơn vị, địa phương: Tiếp nhận các giấy tờ nêu trên; làm thủ tục giới thiệu (kèm bản sao hồ sơ) đến Hội đồng Giám định y khoa cấp tỉnh; Căn cứ kết luận của Hội đồng Giám định y khoa cấp tỉnh để cấp giấy chứng nhận bệnh tật do nhiễm chất độc hóa học; Hoàn chỉnh hồ sơ theo quy định, gửi 01 bộ về Cục Chính sách, Tổng cục Chính trị Công an nhân dân.</w:t>
      </w:r>
    </w:p>
    <w:p w:rsidR="00635844" w:rsidRDefault="001E5AF4">
      <w:pPr>
        <w:spacing w:after="0" w:line="276" w:lineRule="auto"/>
        <w:jc w:val="both"/>
      </w:pPr>
      <w:r>
        <w:rPr>
          <w:rFonts w:ascii="Times New Roman" w:eastAsia="Times New Roman" w:hAnsi="Times New Roman" w:cs="Times New Roman"/>
          <w:sz w:val="26"/>
        </w:rPr>
        <w:t>c) Cục Chính sách: Tiếp nhận và tổ chức xét duyệt hồ sơ xác nhận người hoạt động kháng chiến bị nhiễm chất độc hóa học của Công an đơn vị, địa phương. Nếu đủ điều kiện theo quy định thì ký Quyết định về việc cấp giấy chứng nhận người hoạt động kháng chiến bị nhiễm chất độc hóa học và trợ cấp hàng tháng (mẫu HH4); Chuyển Quyết định về việc cấp giấy chứng nhận người hoạt động kháng chiến bị nhiễm chất độc hóa học và trợ cấp, phụ cấp hàng tháng về Công an đơn vị, địa phương nơi lập hồ sơ để thực hiện chế độ ưu</w:t>
      </w:r>
      <w:r>
        <w:rPr>
          <w:rFonts w:ascii="Times New Roman" w:eastAsia="Times New Roman" w:hAnsi="Times New Roman" w:cs="Times New Roman"/>
          <w:sz w:val="26"/>
        </w:rPr>
        <w:t xml:space="preserve"> đãi theo quy định.</w:t>
      </w:r>
    </w:p>
    <w:p w:rsidR="00635844" w:rsidRDefault="001E5AF4">
      <w:pPr>
        <w:shd w:val="clear" w:color="auto" w:fill="F2F6F9"/>
        <w:spacing w:before="120" w:after="0" w:line="276" w:lineRule="auto"/>
        <w:jc w:val="both"/>
      </w:pPr>
      <w:r>
        <w:rPr>
          <w:rFonts w:ascii="Times New Roman" w:eastAsia="Times New Roman" w:hAnsi="Times New Roman" w:cs="Times New Roman"/>
          <w:b/>
          <w:sz w:val="26"/>
        </w:rPr>
        <w:t>2. Đối với người hoạt động kháng chiến bị nhiễm chất độc hóa học đã nghỉ công tác hoặc có con đẻ nhiễm chất độc hóa học</w:t>
      </w:r>
    </w:p>
    <w:p w:rsidR="00635844" w:rsidRDefault="001E5AF4">
      <w:pPr>
        <w:spacing w:after="0" w:line="276" w:lineRule="auto"/>
        <w:jc w:val="both"/>
      </w:pPr>
      <w:r>
        <w:rPr>
          <w:rFonts w:ascii="Times New Roman" w:eastAsia="Times New Roman" w:hAnsi="Times New Roman" w:cs="Times New Roman"/>
          <w:sz w:val="26"/>
        </w:rPr>
        <w:t xml:space="preserve">Cá nhân lập bản khai kèm các giấy tờ quy định tại Khoản 2, Khoản 3 Điều 19 Thông tư số 61/2013/TT-BCA, ngày 20/11/2013 của Bộ Công an quy định chi tiết về thực hiện chế độ ưu đãi người có công với cách mạng trong Công an nhân dân hoặc lập bản khai cá nhân kèm Giấy khai sinh của con và các giấy tờ của cha đẻ hoặc mẹ đẻ quy định tại Khoản 2 Điều 19 Thông tư số 61/2013/TT-BCA, ngày 20/11/2013 của Bộ Công an quy định chi tiết về thực hiện chế độ ưu đãi người có công với cách mạng trong Công an nhân dân này gửi </w:t>
      </w:r>
      <w:r>
        <w:rPr>
          <w:rFonts w:ascii="Times New Roman" w:eastAsia="Times New Roman" w:hAnsi="Times New Roman" w:cs="Times New Roman"/>
          <w:sz w:val="26"/>
        </w:rPr>
        <w:t>Ủy ban nhân dân cấp xã nơi cư trú để tiếp nhận hồ sơ và giải quyết chế độ theo quy định tại Khoản 2 Điều 29 Thông tư số 05/2013/TT-BLĐTBXH ngày 15 tháng 5 năm 2013 của Bộ Lao động - Thương binh và Xã hội hướng dẫn về thủ tục lập hồ sơ, quản lý hồ sơ, thực hiện chế độ ưu đãi người có công với cách mạng và thân nhân.</w:t>
      </w:r>
    </w:p>
    <w:p w:rsidR="00635844" w:rsidRDefault="001E5AF4">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23"/>
        <w:gridCol w:w="2078"/>
        <w:gridCol w:w="1586"/>
        <w:gridCol w:w="4824"/>
      </w:tblGrid>
      <w:tr w:rsidR="00635844">
        <w:tblPrEx>
          <w:tblCellMar>
            <w:top w:w="0" w:type="dxa"/>
            <w:bottom w:w="0" w:type="dxa"/>
          </w:tblCellMar>
        </w:tblPrEx>
        <w:tc>
          <w:tcPr>
            <w:tcW w:w="1500" w:type="dxa"/>
          </w:tcPr>
          <w:p w:rsidR="00635844" w:rsidRDefault="00635844"/>
          <w:p w:rsidR="00635844" w:rsidRDefault="001E5AF4">
            <w:pPr>
              <w:spacing w:after="0" w:line="276" w:lineRule="auto"/>
              <w:jc w:val="center"/>
            </w:pPr>
            <w:r>
              <w:rPr>
                <w:rFonts w:ascii="Times New Roman" w:eastAsia="Times New Roman" w:hAnsi="Times New Roman" w:cs="Times New Roman"/>
                <w:b/>
                <w:sz w:val="26"/>
              </w:rPr>
              <w:t>Hình thức nộp</w:t>
            </w:r>
          </w:p>
        </w:tc>
        <w:tc>
          <w:tcPr>
            <w:tcW w:w="2000" w:type="dxa"/>
          </w:tcPr>
          <w:p w:rsidR="00635844" w:rsidRDefault="00635844"/>
          <w:p w:rsidR="00635844" w:rsidRDefault="001E5AF4">
            <w:pPr>
              <w:spacing w:after="0" w:line="276" w:lineRule="auto"/>
              <w:jc w:val="center"/>
            </w:pPr>
            <w:r>
              <w:rPr>
                <w:rFonts w:ascii="Times New Roman" w:eastAsia="Times New Roman" w:hAnsi="Times New Roman" w:cs="Times New Roman"/>
                <w:b/>
                <w:sz w:val="26"/>
              </w:rPr>
              <w:t>Thời hạn giải quyết</w:t>
            </w:r>
          </w:p>
        </w:tc>
        <w:tc>
          <w:tcPr>
            <w:tcW w:w="3500" w:type="dxa"/>
          </w:tcPr>
          <w:p w:rsidR="00635844" w:rsidRDefault="00635844"/>
          <w:p w:rsidR="00635844" w:rsidRDefault="001E5AF4">
            <w:pPr>
              <w:spacing w:after="0" w:line="276" w:lineRule="auto"/>
              <w:jc w:val="center"/>
            </w:pPr>
            <w:r>
              <w:rPr>
                <w:rFonts w:ascii="Times New Roman" w:eastAsia="Times New Roman" w:hAnsi="Times New Roman" w:cs="Times New Roman"/>
                <w:b/>
                <w:sz w:val="26"/>
              </w:rPr>
              <w:t>Phí, lệ phí</w:t>
            </w:r>
          </w:p>
        </w:tc>
        <w:tc>
          <w:tcPr>
            <w:tcW w:w="3000" w:type="dxa"/>
          </w:tcPr>
          <w:p w:rsidR="00635844" w:rsidRDefault="00635844"/>
          <w:p w:rsidR="00635844" w:rsidRDefault="001E5AF4">
            <w:pPr>
              <w:spacing w:after="0" w:line="276" w:lineRule="auto"/>
              <w:jc w:val="center"/>
            </w:pPr>
            <w:r>
              <w:rPr>
                <w:rFonts w:ascii="Times New Roman" w:eastAsia="Times New Roman" w:hAnsi="Times New Roman" w:cs="Times New Roman"/>
                <w:b/>
                <w:sz w:val="26"/>
              </w:rPr>
              <w:t>Mô tả</w:t>
            </w:r>
          </w:p>
        </w:tc>
      </w:tr>
      <w:tr w:rsidR="00635844">
        <w:tblPrEx>
          <w:tblCellMar>
            <w:top w:w="0" w:type="dxa"/>
            <w:bottom w:w="0" w:type="dxa"/>
          </w:tblCellMar>
        </w:tblPrEx>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Trực tiếp</w:t>
            </w:r>
          </w:p>
        </w:tc>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 xml:space="preserve">chưa quy định cụ thể về thời gian giải quyế </w:t>
            </w:r>
          </w:p>
        </w:tc>
        <w:tc>
          <w:tcPr>
            <w:tcW w:w="0" w:type="auto"/>
          </w:tcPr>
          <w:p w:rsidR="00635844" w:rsidRDefault="00635844"/>
          <w:p w:rsidR="00635844" w:rsidRDefault="00635844">
            <w:pPr>
              <w:spacing w:after="0" w:line="276" w:lineRule="auto"/>
            </w:pPr>
          </w:p>
        </w:tc>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Trực tiếp tại Công an đơn vị, địa phương có thẩm quyền. Thời giạn: chưa quy định cụ thể về thời gian giải quyế</w:t>
            </w:r>
          </w:p>
        </w:tc>
      </w:tr>
    </w:tbl>
    <w:p w:rsidR="00635844" w:rsidRDefault="001E5AF4">
      <w:pPr>
        <w:spacing w:before="240" w:after="0" w:line="276" w:lineRule="auto"/>
        <w:jc w:val="both"/>
      </w:pPr>
      <w:r>
        <w:rPr>
          <w:rFonts w:ascii="Times New Roman" w:eastAsia="Times New Roman" w:hAnsi="Times New Roman" w:cs="Times New Roman"/>
          <w:b/>
          <w:sz w:val="26"/>
        </w:rPr>
        <w:t xml:space="preserve">Thành phần hồ sơ: </w:t>
      </w:r>
    </w:p>
    <w:p w:rsidR="00635844" w:rsidRDefault="001E5AF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29"/>
        <w:gridCol w:w="2072"/>
        <w:gridCol w:w="910"/>
      </w:tblGrid>
      <w:tr w:rsidR="00635844">
        <w:tblPrEx>
          <w:tblCellMar>
            <w:top w:w="0" w:type="dxa"/>
            <w:bottom w:w="0" w:type="dxa"/>
          </w:tblCellMar>
        </w:tblPrEx>
        <w:tc>
          <w:tcPr>
            <w:tcW w:w="6000" w:type="dxa"/>
          </w:tcPr>
          <w:p w:rsidR="00635844" w:rsidRDefault="00635844"/>
          <w:p w:rsidR="00635844" w:rsidRDefault="001E5AF4">
            <w:pPr>
              <w:spacing w:after="0" w:line="276" w:lineRule="auto"/>
              <w:jc w:val="center"/>
            </w:pPr>
            <w:r>
              <w:rPr>
                <w:rFonts w:ascii="Times New Roman" w:eastAsia="Times New Roman" w:hAnsi="Times New Roman" w:cs="Times New Roman"/>
                <w:b/>
                <w:sz w:val="26"/>
              </w:rPr>
              <w:t>Tên giấy tờ</w:t>
            </w:r>
          </w:p>
        </w:tc>
        <w:tc>
          <w:tcPr>
            <w:tcW w:w="2000" w:type="dxa"/>
          </w:tcPr>
          <w:p w:rsidR="00635844" w:rsidRDefault="00635844"/>
          <w:p w:rsidR="00635844" w:rsidRDefault="001E5AF4">
            <w:pPr>
              <w:spacing w:after="0" w:line="276" w:lineRule="auto"/>
              <w:jc w:val="center"/>
            </w:pPr>
            <w:r>
              <w:rPr>
                <w:rFonts w:ascii="Times New Roman" w:eastAsia="Times New Roman" w:hAnsi="Times New Roman" w:cs="Times New Roman"/>
                <w:b/>
                <w:sz w:val="26"/>
              </w:rPr>
              <w:t>Mẫu đơn, tờ khai</w:t>
            </w:r>
          </w:p>
        </w:tc>
        <w:tc>
          <w:tcPr>
            <w:tcW w:w="2000" w:type="dxa"/>
          </w:tcPr>
          <w:p w:rsidR="00635844" w:rsidRDefault="00635844"/>
          <w:p w:rsidR="00635844" w:rsidRDefault="001E5AF4">
            <w:pPr>
              <w:spacing w:after="0" w:line="276" w:lineRule="auto"/>
              <w:jc w:val="center"/>
            </w:pPr>
            <w:r>
              <w:rPr>
                <w:rFonts w:ascii="Times New Roman" w:eastAsia="Times New Roman" w:hAnsi="Times New Roman" w:cs="Times New Roman"/>
                <w:b/>
                <w:sz w:val="26"/>
              </w:rPr>
              <w:t>Số lượng</w:t>
            </w:r>
          </w:p>
        </w:tc>
      </w:tr>
      <w:tr w:rsidR="00635844">
        <w:tblPrEx>
          <w:tblCellMar>
            <w:top w:w="0" w:type="dxa"/>
            <w:bottom w:w="0" w:type="dxa"/>
          </w:tblCellMar>
        </w:tblPrEx>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a) Bản khai cá nhân đề nghị giải quyết chế độ người hoạt động kháng chiến bị nhiễm chất độc hóa học (mẫu HH1);</w:t>
            </w:r>
          </w:p>
        </w:tc>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74-Mẫu HH1-Bản khai cá nhân (nhiễm chất độc hóa học).doc</w:t>
            </w:r>
          </w:p>
        </w:tc>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35844">
        <w:tblPrEx>
          <w:tblCellMar>
            <w:top w:w="0" w:type="dxa"/>
            <w:bottom w:w="0" w:type="dxa"/>
          </w:tblCellMar>
        </w:tblPrEx>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b) Một trong những giấy tờ chứng minh thời gian tham gia hoạt động kháng chiến tại vùng mà quân đội Mỹ sử dụng chất độc hóa học: Quyết định phục viên, xuất ngũ; giấy X Y Z; giấy chuyển thương, chuyển viện, giấy điều trị; giấy tờ khác chứng minh có tham gia hoạt động kháng chiến tại vùng mà quân đội Mỹ sử dụng chất độc hóa học được xác lập từ ngày 30 tháng 4 năm 1975 trở về trước, kèm bản sao: Lý lịch cán bộ, lý lịch đảng viên, lý lịch quân nhân, Huân chương, Huy chương chiến sĩ giải phóng.</w:t>
            </w:r>
          </w:p>
        </w:tc>
        <w:tc>
          <w:tcPr>
            <w:tcW w:w="0" w:type="auto"/>
          </w:tcPr>
          <w:p w:rsidR="00635844" w:rsidRDefault="00635844"/>
        </w:tc>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35844">
        <w:tblPrEx>
          <w:tblCellMar>
            <w:top w:w="0" w:type="dxa"/>
            <w:bottom w:w="0" w:type="dxa"/>
          </w:tblCellMar>
        </w:tblPrEx>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 xml:space="preserve">c) Bản sao bệnh án điều trị tại cơ sở y tế có thẩm quyền do Bộ Y tế quy định. Trừ các trường hợp sau đây:  Người hoạt động kháng chiến bị nhiễm chất độc hóa học dẫn đến vô sinh theo kết luận của cơ quan y tế có thẩm quyền do Bộ Y tế quy định.  Người hoạt động kháng chiến không có vợ (chồng) </w:t>
            </w:r>
            <w:r>
              <w:rPr>
                <w:rFonts w:ascii="Times New Roman" w:eastAsia="Times New Roman" w:hAnsi="Times New Roman" w:cs="Times New Roman"/>
                <w:sz w:val="26"/>
              </w:rPr>
              <w:lastRenderedPageBreak/>
              <w:t>hoặc có vợ (chồng) nhưng không có con hoặc đã có con trước khi tham gia kháng chiến, sau khi trở về không sinh thêm con, nay đã hết tuổi lao động được Ủy ban nhân dân cấp xã xác nhận;  Người hoạt động kháng chiến bị nhiễm chất độc hóa học không mắc bệnh theo danh mục bệnh tật do Bộ Y tế quy định nhưng sinh con dị dạng, dị tật được Hội đồng giám định y khoa có thẩm quyền kết luận.</w:t>
            </w:r>
          </w:p>
        </w:tc>
        <w:tc>
          <w:tcPr>
            <w:tcW w:w="0" w:type="auto"/>
          </w:tcPr>
          <w:p w:rsidR="00635844" w:rsidRDefault="00635844"/>
        </w:tc>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35844">
        <w:tblPrEx>
          <w:tblCellMar>
            <w:top w:w="0" w:type="dxa"/>
            <w:bottom w:w="0" w:type="dxa"/>
          </w:tblCellMar>
        </w:tblPrEx>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d) Biên bản giám định bệnh tật của Hội đồng Giám định y khoa có thẩm quyền kết luận bị mắc bệnh tật do nhiễm chất độc hóa học và xác định tỷ lệ suy giảm khả năng lao động do bệnh tật (mẫu HH2).</w:t>
            </w:r>
          </w:p>
        </w:tc>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75-Mẫu HH2-Biên bản giám định bệnh tật.doc</w:t>
            </w:r>
          </w:p>
        </w:tc>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35844">
        <w:tblPrEx>
          <w:tblCellMar>
            <w:top w:w="0" w:type="dxa"/>
            <w:bottom w:w="0" w:type="dxa"/>
          </w:tblCellMar>
        </w:tblPrEx>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đ) Giấy chứng nhận bệnh tật do nhiễm chất độc hóa học của Công an đơn vị, địa phương (mẫu HH3)</w:t>
            </w:r>
          </w:p>
        </w:tc>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76-Mẫu HH3- Giấy chứng nhận bệnh tật, nhiễm chất độc hóa học.doc</w:t>
            </w:r>
          </w:p>
        </w:tc>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35844">
        <w:tblPrEx>
          <w:tblCellMar>
            <w:top w:w="0" w:type="dxa"/>
            <w:bottom w:w="0" w:type="dxa"/>
          </w:tblCellMar>
        </w:tblPrEx>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e) Văn bản đề nghị của Công an đơn vị, địa phương</w:t>
            </w:r>
          </w:p>
        </w:tc>
        <w:tc>
          <w:tcPr>
            <w:tcW w:w="0" w:type="auto"/>
          </w:tcPr>
          <w:p w:rsidR="00635844" w:rsidRDefault="00635844"/>
        </w:tc>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35844" w:rsidRDefault="001E5AF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Cán bộ, công chức, viên chức</w:t>
      </w:r>
    </w:p>
    <w:p w:rsidR="00635844" w:rsidRDefault="001E5AF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635844" w:rsidRDefault="001E5AF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Công an, Cục Chính sách</w:t>
      </w:r>
    </w:p>
    <w:p w:rsidR="00635844" w:rsidRDefault="001E5AF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Công an các đơn vị, địa phương có thẩm quyền.</w:t>
      </w:r>
    </w:p>
    <w:p w:rsidR="00635844" w:rsidRDefault="001E5AF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635844" w:rsidRDefault="001E5AF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635844" w:rsidRDefault="001E5AF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hành chính</w:t>
      </w:r>
    </w:p>
    <w:p w:rsidR="00635844" w:rsidRDefault="001E5AF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399"/>
        <w:gridCol w:w="4405"/>
        <w:gridCol w:w="858"/>
        <w:gridCol w:w="1763"/>
      </w:tblGrid>
      <w:tr w:rsidR="00635844">
        <w:tblPrEx>
          <w:tblCellMar>
            <w:top w:w="0" w:type="dxa"/>
            <w:bottom w:w="0" w:type="dxa"/>
          </w:tblCellMar>
        </w:tblPrEx>
        <w:tc>
          <w:tcPr>
            <w:tcW w:w="2000" w:type="dxa"/>
          </w:tcPr>
          <w:p w:rsidR="00635844" w:rsidRDefault="00635844"/>
          <w:p w:rsidR="00635844" w:rsidRDefault="001E5AF4">
            <w:pPr>
              <w:spacing w:after="0" w:line="276" w:lineRule="auto"/>
              <w:jc w:val="center"/>
            </w:pPr>
            <w:r>
              <w:rPr>
                <w:rFonts w:ascii="Times New Roman" w:eastAsia="Times New Roman" w:hAnsi="Times New Roman" w:cs="Times New Roman"/>
                <w:b/>
                <w:sz w:val="26"/>
              </w:rPr>
              <w:t>Số ký hiệu</w:t>
            </w:r>
          </w:p>
        </w:tc>
        <w:tc>
          <w:tcPr>
            <w:tcW w:w="3500" w:type="dxa"/>
          </w:tcPr>
          <w:p w:rsidR="00635844" w:rsidRDefault="00635844"/>
          <w:p w:rsidR="00635844" w:rsidRDefault="001E5AF4">
            <w:pPr>
              <w:spacing w:after="0" w:line="276" w:lineRule="auto"/>
              <w:jc w:val="center"/>
            </w:pPr>
            <w:r>
              <w:rPr>
                <w:rFonts w:ascii="Times New Roman" w:eastAsia="Times New Roman" w:hAnsi="Times New Roman" w:cs="Times New Roman"/>
                <w:b/>
                <w:sz w:val="26"/>
              </w:rPr>
              <w:t>Trích yếu</w:t>
            </w:r>
          </w:p>
        </w:tc>
        <w:tc>
          <w:tcPr>
            <w:tcW w:w="1500" w:type="dxa"/>
          </w:tcPr>
          <w:p w:rsidR="00635844" w:rsidRDefault="00635844"/>
          <w:p w:rsidR="00635844" w:rsidRDefault="001E5AF4">
            <w:pPr>
              <w:spacing w:after="0" w:line="276" w:lineRule="auto"/>
              <w:jc w:val="center"/>
            </w:pPr>
            <w:r>
              <w:rPr>
                <w:rFonts w:ascii="Times New Roman" w:eastAsia="Times New Roman" w:hAnsi="Times New Roman" w:cs="Times New Roman"/>
                <w:b/>
                <w:sz w:val="26"/>
              </w:rPr>
              <w:t>Ngày ban hành</w:t>
            </w:r>
          </w:p>
        </w:tc>
        <w:tc>
          <w:tcPr>
            <w:tcW w:w="3000" w:type="dxa"/>
          </w:tcPr>
          <w:p w:rsidR="00635844" w:rsidRDefault="00635844"/>
          <w:p w:rsidR="00635844" w:rsidRDefault="001E5AF4">
            <w:pPr>
              <w:spacing w:after="0" w:line="276" w:lineRule="auto"/>
              <w:jc w:val="center"/>
            </w:pPr>
            <w:r>
              <w:rPr>
                <w:rFonts w:ascii="Times New Roman" w:eastAsia="Times New Roman" w:hAnsi="Times New Roman" w:cs="Times New Roman"/>
                <w:b/>
                <w:sz w:val="26"/>
              </w:rPr>
              <w:t>Cơ quan ban hành</w:t>
            </w:r>
          </w:p>
        </w:tc>
      </w:tr>
      <w:tr w:rsidR="00635844">
        <w:tblPrEx>
          <w:tblCellMar>
            <w:top w:w="0" w:type="dxa"/>
            <w:bottom w:w="0" w:type="dxa"/>
          </w:tblCellMar>
        </w:tblPrEx>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26/2005/PL-UBTVQH11</w:t>
            </w:r>
          </w:p>
        </w:tc>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Pháp lệnh 26/2005/PL-UBTVQH11  Ưu đãi người có công với cách mạng</w:t>
            </w:r>
          </w:p>
        </w:tc>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29-06-2005</w:t>
            </w:r>
          </w:p>
        </w:tc>
        <w:tc>
          <w:tcPr>
            <w:tcW w:w="0" w:type="auto"/>
          </w:tcPr>
          <w:p w:rsidR="00635844" w:rsidRDefault="00635844"/>
        </w:tc>
      </w:tr>
      <w:tr w:rsidR="00635844">
        <w:tblPrEx>
          <w:tblCellMar>
            <w:top w:w="0" w:type="dxa"/>
            <w:bottom w:w="0" w:type="dxa"/>
          </w:tblCellMar>
        </w:tblPrEx>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04/2012/UBTVQH13</w:t>
            </w:r>
          </w:p>
        </w:tc>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Sửa đổi, bổ sung một số điều của Pháp lệnh ưu đãi người có công với cách mạng</w:t>
            </w:r>
          </w:p>
        </w:tc>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16-07-2012</w:t>
            </w:r>
          </w:p>
        </w:tc>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Ủy ban thường vụ quốc hội</w:t>
            </w:r>
          </w:p>
        </w:tc>
      </w:tr>
      <w:tr w:rsidR="00635844">
        <w:tblPrEx>
          <w:tblCellMar>
            <w:top w:w="0" w:type="dxa"/>
            <w:bottom w:w="0" w:type="dxa"/>
          </w:tblCellMar>
        </w:tblPrEx>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31/2013/NĐ-CP</w:t>
            </w:r>
          </w:p>
        </w:tc>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Hướng dẫn Pháp lệnh ưu đãi người có công với cách mạng</w:t>
            </w:r>
          </w:p>
        </w:tc>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09-04-2013</w:t>
            </w:r>
          </w:p>
        </w:tc>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Chính phủ</w:t>
            </w:r>
          </w:p>
        </w:tc>
      </w:tr>
      <w:tr w:rsidR="00635844">
        <w:tblPrEx>
          <w:tblCellMar>
            <w:top w:w="0" w:type="dxa"/>
            <w:bottom w:w="0" w:type="dxa"/>
          </w:tblCellMar>
        </w:tblPrEx>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05/2013/TT-BLĐTBXH</w:t>
            </w:r>
          </w:p>
        </w:tc>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Hướng dẫn về thủ tục lập hồ sơ, quản lý hồ sơ, thực hiện chế độ ưu đãi người có công với cách mạng và thân nhân</w:t>
            </w:r>
          </w:p>
        </w:tc>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15-05-2013</w:t>
            </w:r>
          </w:p>
        </w:tc>
        <w:tc>
          <w:tcPr>
            <w:tcW w:w="0" w:type="auto"/>
          </w:tcPr>
          <w:p w:rsidR="00635844" w:rsidRDefault="00635844"/>
          <w:p w:rsidR="00635844" w:rsidRDefault="001E5AF4">
            <w:pPr>
              <w:spacing w:after="0" w:line="276" w:lineRule="auto"/>
            </w:pPr>
            <w:r>
              <w:rPr>
                <w:rFonts w:ascii="Times New Roman" w:eastAsia="Times New Roman" w:hAnsi="Times New Roman" w:cs="Times New Roman"/>
                <w:sz w:val="26"/>
              </w:rPr>
              <w:t>Bộ Lao động - Thương binh và Xã hội</w:t>
            </w:r>
          </w:p>
        </w:tc>
      </w:tr>
    </w:tbl>
    <w:p w:rsidR="00635844" w:rsidRDefault="001E5AF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cán bộ, chiến sĩ, công nhân viên công an đã công tác, chiến đấu, phục vụ chiến đấu từ ngày 01 tháng 8 năm 1961 đến 30 tháng 4 năm 1975 tại các vùng mà quân đội Mỹ đã sử dụng chất độc hóa học ở chiến trường B, C, K (kể cả 10 xã: Vĩnh Quang, Vĩnh Giang, Vĩnh Tân, Vĩnh Thành, Vĩnh Ô, Vĩnh Khê, Vĩnh Hà, Vĩnh Lâm, Vĩnh Sơn và Vĩnh Thủy thuộc huyện Vĩnh Linh, tỉnh Quảng Trị) đã nhiễm chất độc hóa học dẫn đến mắc bệnh theo danh mục bệnh tật do Bộ Y tế quy định làm suy giảm khả năng lao động từ 21% trở lên; vô sinh</w:t>
      </w:r>
      <w:r>
        <w:rPr>
          <w:rFonts w:ascii="Times New Roman" w:eastAsia="Times New Roman" w:hAnsi="Times New Roman" w:cs="Times New Roman"/>
          <w:sz w:val="26"/>
        </w:rPr>
        <w:t>; sinh con dị dạng, dị tật theo danh mục dị dạng, dị tật do Bộ Y tế quy định được lập hồ sơ đề nghị xác nhận người hoạt động kháng chiến bị nhiễm chất độc hóa học.</w:t>
      </w:r>
    </w:p>
    <w:p w:rsidR="00635844" w:rsidRDefault="001E5AF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635844" w:rsidRDefault="001E5AF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https://thutuc.dichvucong.gov.vn/p/home/dvc-tthc-thu-tuc-hanh-chinh-chi-tiet.html?ma_thu_tuc=5989</w:t>
      </w:r>
    </w:p>
    <w:sectPr w:rsidR="0063584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35844"/>
    <w:rsid w:val="001E5AF4"/>
    <w:rsid w:val="00635844"/>
    <w:rsid w:val="00802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E61FAD-6510-4B17-A60B-848F55D07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948</Words>
  <Characters>5407</Characters>
  <Application>Microsoft Office Word</Application>
  <DocSecurity>0</DocSecurity>
  <Lines>45</Lines>
  <Paragraphs>12</Paragraphs>
  <ScaleCrop>false</ScaleCrop>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2025-11-24T08:39:00Z</dcterms:created>
  <dcterms:modified xsi:type="dcterms:W3CDTF">2025-11-24T08:39:00Z</dcterms:modified>
</cp:coreProperties>
</file>