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366A" w:rsidRDefault="00B66557">
      <w:pPr>
        <w:spacing w:after="300" w:line="276" w:lineRule="auto"/>
        <w:jc w:val="center"/>
      </w:pPr>
      <w:r>
        <w:rPr>
          <w:rFonts w:ascii="Times New Roman" w:eastAsia="Times New Roman" w:hAnsi="Times New Roman" w:cs="Times New Roman"/>
          <w:b/>
          <w:sz w:val="26"/>
        </w:rPr>
        <w:t>Chi tiết thủ tục hành chính</w:t>
      </w:r>
    </w:p>
    <w:p w:rsidR="00EB366A" w:rsidRDefault="00B6655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1.012542</w:t>
      </w:r>
    </w:p>
    <w:p w:rsidR="00EB366A" w:rsidRDefault="00B6655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rsidR="00EB366A" w:rsidRDefault="00B6655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Tích hợp, cập nhật, điều chỉnh thông tin trên thẻ căn cước (thực hiện tại cấp trung ương)</w:t>
      </w:r>
    </w:p>
    <w:p w:rsidR="00EB366A" w:rsidRDefault="00B6655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EB366A" w:rsidRDefault="00B6655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B366A" w:rsidRDefault="00B6655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EB366A" w:rsidRDefault="00B66557">
      <w:pPr>
        <w:spacing w:after="0" w:line="276" w:lineRule="auto"/>
        <w:jc w:val="both"/>
      </w:pPr>
      <w:r>
        <w:rPr>
          <w:rFonts w:ascii="Times New Roman" w:eastAsia="Times New Roman" w:hAnsi="Times New Roman" w:cs="Times New Roman"/>
          <w:b/>
          <w:sz w:val="26"/>
        </w:rPr>
        <w:t xml:space="preserve">Trình tự thực hiện: </w:t>
      </w:r>
    </w:p>
    <w:p w:rsidR="00EB366A" w:rsidRDefault="00EB366A">
      <w:pPr>
        <w:shd w:val="clear" w:color="auto" w:fill="F2F6F9"/>
        <w:spacing w:before="120" w:after="0" w:line="276" w:lineRule="auto"/>
        <w:jc w:val="both"/>
      </w:pPr>
    </w:p>
    <w:p w:rsidR="00EB366A" w:rsidRDefault="00B66557">
      <w:pPr>
        <w:spacing w:after="0" w:line="276" w:lineRule="auto"/>
        <w:jc w:val="both"/>
      </w:pPr>
      <w:r>
        <w:rPr>
          <w:rFonts w:ascii="Times New Roman" w:eastAsia="Times New Roman" w:hAnsi="Times New Roman" w:cs="Times New Roman"/>
          <w:sz w:val="26"/>
        </w:rPr>
        <w:t>Bước 1: Cá nhân chuẩn bị đầy đủ hồ sơ theo quy định của pháp luật. Bước 2: Nộp hồ sơ tại cơ quan quản lý căn cước của Bộ Công an (Trung tâm dữ liệu quốc gia về dân cư, Cục Cảnh sát Quản lý hành chính về trật tự xã hội, Bộ Công an). Bước 3: Cán bộ tiếp nhận hồ sơ kiểm tra tính pháp lý và nội dung hồ sơ. - Trường hợp hồ sơ đầy đủ, hợp lệ thì cán bộ tiếp nhận hồ sơ thực hiện kiểm tra, đối chiếu, xác thực thông tin đề nghị tích hợp thông qua Cơ sở dữ liêu căn cước, cơ sở dữ liệu quốc gia, cơ sở dữ liệu chuyên n</w:t>
      </w:r>
      <w:r>
        <w:rPr>
          <w:rFonts w:ascii="Times New Roman" w:eastAsia="Times New Roman" w:hAnsi="Times New Roman" w:cs="Times New Roman"/>
          <w:sz w:val="26"/>
        </w:rPr>
        <w:t>gành và thực hiện tích hợp đối với các thông tin xác thực thành công; - Trường hợp hồ sơ không đầy đủ thì hướng dẫn công dân bổ sung, hoàn thiện hồ sơ; trường hợp hồ sơ không hợp lệ thì từ chối tiếp nhận và nêu rõ lý do bằng Thông báo về việc từ chối giải quyết thủ tục về căn cước (Mẫu CC03 ban hành kèm theo Thông tư số 17/2024/TT-BCA ngày 15/5/2024 của Bộ Công an).</w:t>
      </w:r>
    </w:p>
    <w:p w:rsidR="00EB366A" w:rsidRDefault="00B6655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0"/>
        <w:gridCol w:w="901"/>
        <w:gridCol w:w="1208"/>
        <w:gridCol w:w="6532"/>
      </w:tblGrid>
      <w:tr w:rsidR="00EB366A">
        <w:tblPrEx>
          <w:tblCellMar>
            <w:top w:w="0" w:type="dxa"/>
            <w:bottom w:w="0" w:type="dxa"/>
          </w:tblCellMar>
        </w:tblPrEx>
        <w:tc>
          <w:tcPr>
            <w:tcW w:w="15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t>Hình thức nộp</w:t>
            </w:r>
          </w:p>
        </w:tc>
        <w:tc>
          <w:tcPr>
            <w:tcW w:w="20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t>Phí, lệ phí</w:t>
            </w:r>
          </w:p>
        </w:tc>
        <w:tc>
          <w:tcPr>
            <w:tcW w:w="30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t>Mô tả</w:t>
            </w:r>
          </w:p>
        </w:tc>
      </w:tr>
      <w:tr w:rsidR="00EB366A">
        <w:tblPrEx>
          <w:tblCellMar>
            <w:top w:w="0" w:type="dxa"/>
            <w:bottom w:w="0" w:type="dxa"/>
          </w:tblCellMar>
        </w:tblPrEx>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Trực tiếp</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07 Ngày làm việc</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Lệ phí :  Đồng (Chưa quy định.)</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 Nộp hồ sơ trực tiếp tại cơ quan quản lý căn cước của Bộ Công an. - Thời gian tiếp nhận hồ sơ: Giờ hành chính các ngày làm việc từ thứ 2 đến thứ 6 hàng tuần (trừ các ngày nghỉ lễ, tết theo quy định của pháp luật).</w:t>
            </w:r>
          </w:p>
        </w:tc>
      </w:tr>
      <w:tr w:rsidR="00EB366A">
        <w:tblPrEx>
          <w:tblCellMar>
            <w:top w:w="0" w:type="dxa"/>
            <w:bottom w:w="0" w:type="dxa"/>
          </w:tblCellMar>
        </w:tblPrEx>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Trực tuyến</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 xml:space="preserve">07 Ngày làm </w:t>
            </w:r>
            <w:r>
              <w:rPr>
                <w:rFonts w:ascii="Times New Roman" w:eastAsia="Times New Roman" w:hAnsi="Times New Roman" w:cs="Times New Roman"/>
                <w:sz w:val="26"/>
              </w:rPr>
              <w:lastRenderedPageBreak/>
              <w:t>việc</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 xml:space="preserve">Lệ phí :  Đồng (Chưa quy </w:t>
            </w:r>
            <w:r>
              <w:rPr>
                <w:rFonts w:ascii="Times New Roman" w:eastAsia="Times New Roman" w:hAnsi="Times New Roman" w:cs="Times New Roman"/>
                <w:sz w:val="26"/>
              </w:rPr>
              <w:lastRenderedPageBreak/>
              <w:t>định.)</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 xml:space="preserve">- Nộp hồ sơ trực tuyến trên Cổng dịch vụ công quốc gia, Cổng dịch vụ công Bộ Công an, Ứng dụng định danh quốc gia để đăng ký thời gian, địa điểm thực hiện thủ tục tại cơ quan quản </w:t>
            </w:r>
            <w:r>
              <w:rPr>
                <w:rFonts w:ascii="Times New Roman" w:eastAsia="Times New Roman" w:hAnsi="Times New Roman" w:cs="Times New Roman"/>
                <w:sz w:val="26"/>
              </w:rPr>
              <w:lastRenderedPageBreak/>
              <w:t>lý căn cước của Bộ Công an. - Thời gian tiếp nhận hồ sơ: Giờ hành chính các ngày làm việc từ thứ 2 đến thứ 6 hàng tuần (trừ các ngày nghỉ lễ, tết theo quy định của pháp luật).</w:t>
            </w:r>
          </w:p>
        </w:tc>
      </w:tr>
    </w:tbl>
    <w:p w:rsidR="00EB366A" w:rsidRDefault="00B66557">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EB366A" w:rsidRDefault="00B66557">
      <w:pPr>
        <w:shd w:val="clear" w:color="auto" w:fill="F2F6F9"/>
        <w:spacing w:before="120" w:after="0" w:line="276" w:lineRule="auto"/>
        <w:jc w:val="both"/>
      </w:pPr>
      <w:r>
        <w:rPr>
          <w:rFonts w:ascii="Times New Roman" w:eastAsia="Times New Roman" w:hAnsi="Times New Roman" w:cs="Times New Roman"/>
          <w:b/>
          <w:sz w:val="26"/>
        </w:rPr>
        <w:t>Đối với trường hợp tích hợp thông tin trên thẻ căn cước khi thực hiện thủ tục cấp, cấp đổi, cấp lại thẻ căn cước.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47"/>
        <w:gridCol w:w="2665"/>
        <w:gridCol w:w="1199"/>
      </w:tblGrid>
      <w:tr w:rsidR="00EB366A">
        <w:tblPrEx>
          <w:tblCellMar>
            <w:top w:w="0" w:type="dxa"/>
            <w:bottom w:w="0" w:type="dxa"/>
          </w:tblCellMar>
        </w:tblPrEx>
        <w:tc>
          <w:tcPr>
            <w:tcW w:w="60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t>Tên giấy tờ</w:t>
            </w:r>
          </w:p>
        </w:tc>
        <w:tc>
          <w:tcPr>
            <w:tcW w:w="20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t>Mẫu đơn, tờ khai</w:t>
            </w:r>
          </w:p>
        </w:tc>
        <w:tc>
          <w:tcPr>
            <w:tcW w:w="20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t>Số lượng</w:t>
            </w:r>
          </w:p>
        </w:tc>
      </w:tr>
      <w:tr w:rsidR="00EB366A">
        <w:tblPrEx>
          <w:tblCellMar>
            <w:top w:w="0" w:type="dxa"/>
            <w:bottom w:w="0" w:type="dxa"/>
          </w:tblCellMar>
        </w:tblPrEx>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B366A" w:rsidRDefault="00B66557">
      <w:pPr>
        <w:shd w:val="clear" w:color="auto" w:fill="F2F6F9"/>
        <w:spacing w:before="120" w:after="0" w:line="276" w:lineRule="auto"/>
        <w:jc w:val="both"/>
      </w:pPr>
      <w:r>
        <w:rPr>
          <w:rFonts w:ascii="Times New Roman" w:eastAsia="Times New Roman" w:hAnsi="Times New Roman" w:cs="Times New Roman"/>
          <w:b/>
          <w:sz w:val="26"/>
        </w:rPr>
        <w:t>Đối với trường hợp tích hợp, cập nhật, điều chỉnh thông tin trên thẻ căn cước đã cấp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EB366A">
        <w:tblPrEx>
          <w:tblCellMar>
            <w:top w:w="0" w:type="dxa"/>
            <w:bottom w:w="0" w:type="dxa"/>
          </w:tblCellMar>
        </w:tblPrEx>
        <w:tc>
          <w:tcPr>
            <w:tcW w:w="60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t>Tên giấy tờ</w:t>
            </w:r>
          </w:p>
        </w:tc>
        <w:tc>
          <w:tcPr>
            <w:tcW w:w="20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t>Mẫu đơn, tờ khai</w:t>
            </w:r>
          </w:p>
        </w:tc>
        <w:tc>
          <w:tcPr>
            <w:tcW w:w="20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t>Số lượng</w:t>
            </w:r>
          </w:p>
        </w:tc>
      </w:tr>
      <w:tr w:rsidR="00EB366A">
        <w:tblPrEx>
          <w:tblCellMar>
            <w:top w:w="0" w:type="dxa"/>
            <w:bottom w:w="0" w:type="dxa"/>
          </w:tblCellMar>
        </w:tblPrEx>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B366A">
        <w:tblPrEx>
          <w:tblCellMar>
            <w:top w:w="0" w:type="dxa"/>
            <w:bottom w:w="0" w:type="dxa"/>
          </w:tblCellMar>
        </w:tblPrEx>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 Xuất trình thẻ căn cước của công dân để cơ quan Công an kiểm tra, xác định đúng người đề nghị thực hiện thủ tục.</w:t>
            </w:r>
          </w:p>
        </w:tc>
        <w:tc>
          <w:tcPr>
            <w:tcW w:w="0" w:type="auto"/>
          </w:tcPr>
          <w:p w:rsidR="00EB366A" w:rsidRDefault="00EB366A"/>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B366A" w:rsidRDefault="00B6655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EB366A" w:rsidRDefault="00B6655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EB366A" w:rsidRDefault="00B6655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EB366A" w:rsidRDefault="00B6655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Bộ Công an (Trung tâm dữ liệu quốc gia về dân cư, Cục Cảnh sát quản lý hành chính về trật tự xã hội, Bộ Công an).</w:t>
      </w:r>
    </w:p>
    <w:p w:rsidR="00EB366A" w:rsidRDefault="00B6655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B366A" w:rsidRDefault="00B6655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B366A" w:rsidRDefault="00B6655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tích hợp, cập nhật, điều chỉnh thông tin trên thẻ căn cước.</w:t>
      </w:r>
    </w:p>
    <w:p w:rsidR="00EB366A" w:rsidRDefault="00B6655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0"/>
        <w:gridCol w:w="5093"/>
        <w:gridCol w:w="963"/>
        <w:gridCol w:w="1605"/>
      </w:tblGrid>
      <w:tr w:rsidR="00EB366A">
        <w:tblPrEx>
          <w:tblCellMar>
            <w:top w:w="0" w:type="dxa"/>
            <w:bottom w:w="0" w:type="dxa"/>
          </w:tblCellMar>
        </w:tblPrEx>
        <w:tc>
          <w:tcPr>
            <w:tcW w:w="20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rsidR="00EB366A" w:rsidRDefault="00EB366A"/>
          <w:p w:rsidR="00EB366A" w:rsidRDefault="00B66557">
            <w:pPr>
              <w:spacing w:after="0" w:line="276" w:lineRule="auto"/>
              <w:jc w:val="center"/>
            </w:pPr>
            <w:r>
              <w:rPr>
                <w:rFonts w:ascii="Times New Roman" w:eastAsia="Times New Roman" w:hAnsi="Times New Roman" w:cs="Times New Roman"/>
                <w:b/>
                <w:sz w:val="26"/>
              </w:rPr>
              <w:lastRenderedPageBreak/>
              <w:t>Cơ quan ban hành</w:t>
            </w:r>
          </w:p>
        </w:tc>
      </w:tr>
      <w:tr w:rsidR="00EB366A">
        <w:tblPrEx>
          <w:tblCellMar>
            <w:top w:w="0" w:type="dxa"/>
            <w:bottom w:w="0" w:type="dxa"/>
          </w:tblCellMar>
        </w:tblPrEx>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26/2023/QH15</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Luật Căn cước</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27-11-2023</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Quốc Hội</w:t>
            </w:r>
          </w:p>
        </w:tc>
      </w:tr>
      <w:tr w:rsidR="00EB366A">
        <w:tblPrEx>
          <w:tblCellMar>
            <w:top w:w="0" w:type="dxa"/>
            <w:bottom w:w="0" w:type="dxa"/>
          </w:tblCellMar>
        </w:tblPrEx>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70/2024/NĐ-CP</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25-06-2024</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Chính phủ</w:t>
            </w:r>
          </w:p>
        </w:tc>
      </w:tr>
      <w:tr w:rsidR="00EB366A">
        <w:tblPrEx>
          <w:tblCellMar>
            <w:top w:w="0" w:type="dxa"/>
            <w:bottom w:w="0" w:type="dxa"/>
          </w:tblCellMar>
        </w:tblPrEx>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16/2024/TT-BCA</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15-05-2024</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Bộ Công an</w:t>
            </w:r>
          </w:p>
        </w:tc>
      </w:tr>
      <w:tr w:rsidR="00EB366A">
        <w:tblPrEx>
          <w:tblCellMar>
            <w:top w:w="0" w:type="dxa"/>
            <w:bottom w:w="0" w:type="dxa"/>
          </w:tblCellMar>
        </w:tblPrEx>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17/2024/TT-BCA</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15-05-2024</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Bộ Công an</w:t>
            </w:r>
          </w:p>
        </w:tc>
      </w:tr>
      <w:tr w:rsidR="00EB366A">
        <w:tblPrEx>
          <w:tblCellMar>
            <w:top w:w="0" w:type="dxa"/>
            <w:bottom w:w="0" w:type="dxa"/>
          </w:tblCellMar>
        </w:tblPrEx>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18/2024/TT-BCA</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15-05-2024</w:t>
            </w:r>
          </w:p>
        </w:tc>
        <w:tc>
          <w:tcPr>
            <w:tcW w:w="0" w:type="auto"/>
          </w:tcPr>
          <w:p w:rsidR="00EB366A" w:rsidRDefault="00EB366A"/>
          <w:p w:rsidR="00EB366A" w:rsidRDefault="00B66557">
            <w:pPr>
              <w:spacing w:after="0" w:line="276" w:lineRule="auto"/>
            </w:pPr>
            <w:r>
              <w:rPr>
                <w:rFonts w:ascii="Times New Roman" w:eastAsia="Times New Roman" w:hAnsi="Times New Roman" w:cs="Times New Roman"/>
                <w:sz w:val="26"/>
              </w:rPr>
              <w:t>Bộ Công an</w:t>
            </w:r>
          </w:p>
        </w:tc>
      </w:tr>
    </w:tbl>
    <w:p w:rsidR="00EB366A" w:rsidRDefault="00B6655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Thông tin đề nghị tích hợp, cập nhật, điều chỉnh phải được xác thực qua Cơ sở dữ liệu chuyên ngành.</w:t>
      </w:r>
    </w:p>
    <w:p w:rsidR="00EB366A" w:rsidRDefault="00B6655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Tích hợp, cập nhật, điều chỉnh thông tin trên thẻ căn cước</w:t>
      </w:r>
    </w:p>
    <w:p w:rsidR="00EB366A" w:rsidRDefault="00B6655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https://thutuc.dichvucong.gov.vn/p/home/dvc-tthc-thu-tuc-hanh-chinh-chi-tiet.html?ma_thu_tuc=342319</w:t>
      </w:r>
    </w:p>
    <w:sectPr w:rsidR="00EB366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B366A"/>
    <w:rsid w:val="0015254D"/>
    <w:rsid w:val="00B66557"/>
    <w:rsid w:val="00EB3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6A1ACF-C922-40CD-A700-DDA6D40A6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2025-11-24T08:55:00Z</dcterms:created>
  <dcterms:modified xsi:type="dcterms:W3CDTF">2025-11-24T08:55:00Z</dcterms:modified>
</cp:coreProperties>
</file>