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4F6D" w:rsidRDefault="0012301F">
      <w:pPr>
        <w:spacing w:after="300" w:line="276" w:lineRule="auto"/>
        <w:jc w:val="center"/>
      </w:pPr>
      <w:r>
        <w:rPr>
          <w:rFonts w:ascii="Times New Roman" w:eastAsia="Times New Roman" w:hAnsi="Times New Roman" w:cs="Times New Roman"/>
          <w:b/>
          <w:sz w:val="26"/>
        </w:rPr>
        <w:t>Chi tiết thủ tục hành chính</w:t>
      </w:r>
    </w:p>
    <w:p w:rsidR="004B4F6D" w:rsidRDefault="0012301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1.013426</w:t>
      </w:r>
    </w:p>
    <w:p w:rsidR="004B4F6D" w:rsidRDefault="0012301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rsidR="004B4F6D" w:rsidRDefault="0012301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Điều chỉnh Giấy phép vận chuyển vật liệu nổ công nghiệp</w:t>
      </w:r>
    </w:p>
    <w:p w:rsidR="004B4F6D" w:rsidRDefault="0012301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4B4F6D" w:rsidRDefault="0012301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4B4F6D" w:rsidRDefault="0012301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rsidR="004B4F6D" w:rsidRDefault="0012301F">
      <w:pPr>
        <w:spacing w:after="0" w:line="276" w:lineRule="auto"/>
        <w:jc w:val="both"/>
      </w:pPr>
      <w:r>
        <w:rPr>
          <w:rFonts w:ascii="Times New Roman" w:eastAsia="Times New Roman" w:hAnsi="Times New Roman" w:cs="Times New Roman"/>
          <w:b/>
          <w:sz w:val="26"/>
        </w:rPr>
        <w:t xml:space="preserve">Trình tự thực hiện: </w:t>
      </w:r>
    </w:p>
    <w:p w:rsidR="004B4F6D" w:rsidRDefault="004B4F6D">
      <w:pPr>
        <w:shd w:val="clear" w:color="auto" w:fill="F2F6F9"/>
        <w:spacing w:before="120" w:after="0" w:line="276" w:lineRule="auto"/>
        <w:jc w:val="both"/>
      </w:pPr>
    </w:p>
    <w:p w:rsidR="004B4F6D" w:rsidRDefault="0012301F">
      <w:pPr>
        <w:spacing w:after="0" w:line="276" w:lineRule="auto"/>
        <w:jc w:val="both"/>
      </w:pPr>
      <w:r>
        <w:rPr>
          <w:rFonts w:ascii="Times New Roman" w:eastAsia="Times New Roman" w:hAnsi="Times New Roman" w:cs="Times New Roman"/>
          <w:sz w:val="26"/>
        </w:rPr>
        <w:t>- Bước 1: Tổ chức, doanh nghiệp chuẩn bị hồ sơ theo quy định của pháp luật. - Bước 2: Tổ chức, doanh nghiệp nộp hồ sơ trên Cổng dịch vụ công hoặc nộp hồ sơ trực tiếp hoặc gửi qua đường bưu chính đến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trên Cổng dịch vụ công phải</w:t>
      </w:r>
      <w:r>
        <w:rPr>
          <w:rFonts w:ascii="Times New Roman" w:eastAsia="Times New Roman" w:hAnsi="Times New Roman" w:cs="Times New Roman"/>
          <w:sz w:val="26"/>
        </w:rPr>
        <w:t xml:space="preserve"> thông báo thời gian trả kết quả cho tổ chức, doanh nghiệp đề nghị biết. Cán bộ tiếp nhận hồ sơ nộp qua đường bưu chính hoặc trực tiếp phải thông báo bằng văn bản thời gian trả kết quả cho tổ chức, doanh nghiệp đề nghị biết và nhập vào hệ thống phần mềm quản lý vũ khí, vật liệu nổ, công cụ hỗ trợ và pháo. + Trường hợp hồ sơ thiếu thủ tục: Cán bộ tiếp nhận hồ sơ trên Cổng dịch vụ công phải thông báo thủ tục còn thiếu cho tổ chức, doanh nghiệp đề nghị biết để bổ sung, hoàn thiện.  Cán bộ tiếp nhận hồ sơ qua đ</w:t>
      </w:r>
      <w:r>
        <w:rPr>
          <w:rFonts w:ascii="Times New Roman" w:eastAsia="Times New Roman" w:hAnsi="Times New Roman" w:cs="Times New Roman"/>
          <w:sz w:val="26"/>
        </w:rPr>
        <w:t>ường bưu chính hoặc trực tiếp phải trả hồ sơ hoặc thông báo bằng văn bản cho tổ chức, doanh nghiệp đề nghị để bổ sung, hoàn thiện hồ sơ.  + Hồ sơ không đạt yêu cầu: Cán bộ tiếp nhận hồ sơ nộp trên Cổng dịch vụ công không tiếp nhận và thông báo trả lời trên Cổng dịch vụ công lý do không tiếp nhận cho tổ chức, doanh nghiệp đề nghị biết.  Cán bộ tiếp nhận hồ sơ nộp qua đường bưu chính hoặc trực tiếp, không tiếp nhận và thông báo trả lời trực tiếp hoặc bằng văn bản, nêu rõ lý do không tiếp nhận cho tổ chức, doa</w:t>
      </w:r>
      <w:r>
        <w:rPr>
          <w:rFonts w:ascii="Times New Roman" w:eastAsia="Times New Roman" w:hAnsi="Times New Roman" w:cs="Times New Roman"/>
          <w:sz w:val="26"/>
        </w:rPr>
        <w:t>nh nghiệp đề nghị biết. - Bước 4: Căn cứ theo ngày hẹn trên phiếu tiếp nhận hồ sơ và hẹn trả kết quả để nhận giấy phép vận chuyển vật liệu nổ công nghiệp.</w:t>
      </w:r>
    </w:p>
    <w:p w:rsidR="004B4F6D" w:rsidRDefault="0012301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3"/>
        <w:gridCol w:w="897"/>
        <w:gridCol w:w="1031"/>
        <w:gridCol w:w="6630"/>
      </w:tblGrid>
      <w:tr w:rsidR="004B4F6D">
        <w:tblPrEx>
          <w:tblCellMar>
            <w:top w:w="0" w:type="dxa"/>
            <w:bottom w:w="0" w:type="dxa"/>
          </w:tblCellMar>
        </w:tblPrEx>
        <w:tc>
          <w:tcPr>
            <w:tcW w:w="1500" w:type="dxa"/>
          </w:tcPr>
          <w:p w:rsidR="004B4F6D" w:rsidRDefault="004B4F6D"/>
          <w:p w:rsidR="004B4F6D" w:rsidRDefault="0012301F">
            <w:pPr>
              <w:spacing w:after="0" w:line="276" w:lineRule="auto"/>
              <w:jc w:val="center"/>
            </w:pPr>
            <w:r>
              <w:rPr>
                <w:rFonts w:ascii="Times New Roman" w:eastAsia="Times New Roman" w:hAnsi="Times New Roman" w:cs="Times New Roman"/>
                <w:b/>
                <w:sz w:val="26"/>
              </w:rPr>
              <w:t>Hình thức nộp</w:t>
            </w:r>
          </w:p>
        </w:tc>
        <w:tc>
          <w:tcPr>
            <w:tcW w:w="2000" w:type="dxa"/>
          </w:tcPr>
          <w:p w:rsidR="004B4F6D" w:rsidRDefault="004B4F6D"/>
          <w:p w:rsidR="004B4F6D" w:rsidRDefault="0012301F">
            <w:pPr>
              <w:spacing w:after="0" w:line="276" w:lineRule="auto"/>
              <w:jc w:val="center"/>
            </w:pPr>
            <w:r>
              <w:rPr>
                <w:rFonts w:ascii="Times New Roman" w:eastAsia="Times New Roman" w:hAnsi="Times New Roman" w:cs="Times New Roman"/>
                <w:b/>
                <w:sz w:val="26"/>
              </w:rPr>
              <w:t>Thời hạn giải quyết</w:t>
            </w:r>
          </w:p>
        </w:tc>
        <w:tc>
          <w:tcPr>
            <w:tcW w:w="3500" w:type="dxa"/>
          </w:tcPr>
          <w:p w:rsidR="004B4F6D" w:rsidRDefault="004B4F6D"/>
          <w:p w:rsidR="004B4F6D" w:rsidRDefault="0012301F">
            <w:pPr>
              <w:spacing w:after="0" w:line="276" w:lineRule="auto"/>
              <w:jc w:val="center"/>
            </w:pPr>
            <w:r>
              <w:rPr>
                <w:rFonts w:ascii="Times New Roman" w:eastAsia="Times New Roman" w:hAnsi="Times New Roman" w:cs="Times New Roman"/>
                <w:b/>
                <w:sz w:val="26"/>
              </w:rPr>
              <w:t>Phí, lệ phí</w:t>
            </w:r>
          </w:p>
        </w:tc>
        <w:tc>
          <w:tcPr>
            <w:tcW w:w="3000" w:type="dxa"/>
          </w:tcPr>
          <w:p w:rsidR="004B4F6D" w:rsidRDefault="004B4F6D"/>
          <w:p w:rsidR="004B4F6D" w:rsidRDefault="0012301F">
            <w:pPr>
              <w:spacing w:after="0" w:line="276" w:lineRule="auto"/>
              <w:jc w:val="center"/>
            </w:pPr>
            <w:r>
              <w:rPr>
                <w:rFonts w:ascii="Times New Roman" w:eastAsia="Times New Roman" w:hAnsi="Times New Roman" w:cs="Times New Roman"/>
                <w:b/>
                <w:sz w:val="26"/>
              </w:rPr>
              <w:t>Mô tả</w:t>
            </w:r>
          </w:p>
        </w:tc>
      </w:tr>
      <w:tr w:rsidR="004B4F6D">
        <w:tblPrEx>
          <w:tblCellMar>
            <w:top w:w="0" w:type="dxa"/>
            <w:bottom w:w="0" w:type="dxa"/>
          </w:tblCellMar>
        </w:tblPrEx>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lastRenderedPageBreak/>
              <w:t>Trực tiếp</w:t>
            </w:r>
          </w:p>
        </w:tc>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lastRenderedPageBreak/>
              <w:t>03 Ngày làm việc</w:t>
            </w:r>
          </w:p>
        </w:tc>
        <w:tc>
          <w:tcPr>
            <w:tcW w:w="0" w:type="auto"/>
          </w:tcPr>
          <w:p w:rsidR="004B4F6D" w:rsidRDefault="004B4F6D"/>
          <w:p w:rsidR="004B4F6D" w:rsidRDefault="004B4F6D">
            <w:pPr>
              <w:spacing w:after="0" w:line="276" w:lineRule="auto"/>
            </w:pPr>
          </w:p>
        </w:tc>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lastRenderedPageBreak/>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đủ hồ sơ, cơ quan Công an có thẩm quyền cấp, điều chỉnh giấy phép vận chuyển; trường hợp không cấp phải trả lời bằng văn bản và nêu rõ lý do.</w:t>
            </w:r>
          </w:p>
        </w:tc>
      </w:tr>
      <w:tr w:rsidR="004B4F6D">
        <w:tblPrEx>
          <w:tblCellMar>
            <w:top w:w="0" w:type="dxa"/>
            <w:bottom w:w="0" w:type="dxa"/>
          </w:tblCellMar>
        </w:tblPrEx>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Trực tuyến</w:t>
            </w:r>
          </w:p>
        </w:tc>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03 Ngày làm việc</w:t>
            </w:r>
          </w:p>
        </w:tc>
        <w:tc>
          <w:tcPr>
            <w:tcW w:w="0" w:type="auto"/>
          </w:tcPr>
          <w:p w:rsidR="004B4F6D" w:rsidRDefault="004B4F6D"/>
          <w:p w:rsidR="004B4F6D" w:rsidRDefault="004B4F6D">
            <w:pPr>
              <w:spacing w:after="0" w:line="276" w:lineRule="auto"/>
            </w:pPr>
          </w:p>
        </w:tc>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 xml:space="preserve">- Nộp hồ sơ trên Cổng dịch vụ công. </w:t>
            </w:r>
            <w:r>
              <w:rPr>
                <w:rFonts w:ascii="Times New Roman" w:eastAsia="Times New Roman" w:hAnsi="Times New Roman" w:cs="Times New Roman"/>
                <w:sz w:val="26"/>
              </w:rPr>
              <w:t>Trong thời hạn 03 ngày làm việc kể từ ngày nhận đủ hồ sơ, cơ quan Công an có thẩm quyền cấp, điều chỉnh giấy phép vận chuyển; trường hợp không cấp phải trả lời bằng văn bản và nêu rõ lý do.</w:t>
            </w:r>
          </w:p>
        </w:tc>
      </w:tr>
      <w:tr w:rsidR="004B4F6D">
        <w:tblPrEx>
          <w:tblCellMar>
            <w:top w:w="0" w:type="dxa"/>
            <w:bottom w:w="0" w:type="dxa"/>
          </w:tblCellMar>
        </w:tblPrEx>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Dịch vụ bưu chính</w:t>
            </w:r>
          </w:p>
        </w:tc>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03 Ngày làm việc</w:t>
            </w:r>
          </w:p>
        </w:tc>
        <w:tc>
          <w:tcPr>
            <w:tcW w:w="0" w:type="auto"/>
          </w:tcPr>
          <w:p w:rsidR="004B4F6D" w:rsidRDefault="004B4F6D"/>
          <w:p w:rsidR="004B4F6D" w:rsidRDefault="004B4F6D">
            <w:pPr>
              <w:spacing w:after="0" w:line="276" w:lineRule="auto"/>
            </w:pPr>
          </w:p>
        </w:tc>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đủ hồ sơ, cơ quan Công an có thẩm quyền cấp, điều chỉnh giấy phép vận chuyển; trường hợp không cấp phải trả lời bằng văn bản và nêu rõ lý do.</w:t>
            </w:r>
          </w:p>
        </w:tc>
      </w:tr>
    </w:tbl>
    <w:p w:rsidR="004B4F6D" w:rsidRDefault="0012301F">
      <w:pPr>
        <w:spacing w:before="240" w:after="0" w:line="276" w:lineRule="auto"/>
        <w:jc w:val="both"/>
      </w:pPr>
      <w:r>
        <w:rPr>
          <w:rFonts w:ascii="Times New Roman" w:eastAsia="Times New Roman" w:hAnsi="Times New Roman" w:cs="Times New Roman"/>
          <w:b/>
          <w:sz w:val="26"/>
        </w:rPr>
        <w:t xml:space="preserve">Thành phần hồ sơ: </w:t>
      </w:r>
    </w:p>
    <w:p w:rsidR="004B4F6D" w:rsidRDefault="0012301F">
      <w:pPr>
        <w:shd w:val="clear" w:color="auto" w:fill="F2F6F9"/>
        <w:spacing w:before="120" w:after="0" w:line="276" w:lineRule="auto"/>
        <w:jc w:val="both"/>
      </w:pPr>
      <w:r>
        <w:rPr>
          <w:rFonts w:ascii="Times New Roman" w:eastAsia="Times New Roman" w:hAnsi="Times New Roman" w:cs="Times New Roman"/>
          <w:b/>
          <w:sz w:val="26"/>
        </w:rPr>
        <w:t xml:space="preserve">Theo quy định tại Điều 41 Luật Quản lý, sử dụng vũ khí, vật liệu nổ và công cụ hỗ trợ (Luật số 42/2024/QH15 ngày 29/6/2024), cụ thể: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38"/>
        <w:gridCol w:w="1201"/>
        <w:gridCol w:w="1272"/>
      </w:tblGrid>
      <w:tr w:rsidR="004B4F6D">
        <w:tblPrEx>
          <w:tblCellMar>
            <w:top w:w="0" w:type="dxa"/>
            <w:bottom w:w="0" w:type="dxa"/>
          </w:tblCellMar>
        </w:tblPrEx>
        <w:tc>
          <w:tcPr>
            <w:tcW w:w="6000" w:type="dxa"/>
          </w:tcPr>
          <w:p w:rsidR="004B4F6D" w:rsidRDefault="004B4F6D"/>
          <w:p w:rsidR="004B4F6D" w:rsidRDefault="0012301F">
            <w:pPr>
              <w:spacing w:after="0" w:line="276" w:lineRule="auto"/>
              <w:jc w:val="center"/>
            </w:pPr>
            <w:r>
              <w:rPr>
                <w:rFonts w:ascii="Times New Roman" w:eastAsia="Times New Roman" w:hAnsi="Times New Roman" w:cs="Times New Roman"/>
                <w:b/>
                <w:sz w:val="26"/>
              </w:rPr>
              <w:t>Tên giấy tờ</w:t>
            </w:r>
          </w:p>
        </w:tc>
        <w:tc>
          <w:tcPr>
            <w:tcW w:w="2000" w:type="dxa"/>
          </w:tcPr>
          <w:p w:rsidR="004B4F6D" w:rsidRDefault="004B4F6D"/>
          <w:p w:rsidR="004B4F6D" w:rsidRDefault="0012301F">
            <w:pPr>
              <w:spacing w:after="0" w:line="276" w:lineRule="auto"/>
              <w:jc w:val="center"/>
            </w:pPr>
            <w:r>
              <w:rPr>
                <w:rFonts w:ascii="Times New Roman" w:eastAsia="Times New Roman" w:hAnsi="Times New Roman" w:cs="Times New Roman"/>
                <w:b/>
                <w:sz w:val="26"/>
              </w:rPr>
              <w:t>Mẫu đơn, tờ khai</w:t>
            </w:r>
          </w:p>
        </w:tc>
        <w:tc>
          <w:tcPr>
            <w:tcW w:w="2000" w:type="dxa"/>
          </w:tcPr>
          <w:p w:rsidR="004B4F6D" w:rsidRDefault="004B4F6D"/>
          <w:p w:rsidR="004B4F6D" w:rsidRDefault="0012301F">
            <w:pPr>
              <w:spacing w:after="0" w:line="276" w:lineRule="auto"/>
              <w:jc w:val="center"/>
            </w:pPr>
            <w:r>
              <w:rPr>
                <w:rFonts w:ascii="Times New Roman" w:eastAsia="Times New Roman" w:hAnsi="Times New Roman" w:cs="Times New Roman"/>
                <w:b/>
                <w:sz w:val="26"/>
              </w:rPr>
              <w:t>Số lượng</w:t>
            </w:r>
          </w:p>
        </w:tc>
      </w:tr>
      <w:tr w:rsidR="004B4F6D">
        <w:tblPrEx>
          <w:tblCellMar>
            <w:top w:w="0" w:type="dxa"/>
            <w:bottom w:w="0" w:type="dxa"/>
          </w:tblCellMar>
        </w:tblPrEx>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Văn bản đề nghị ghi rõ nội dung đề nghị điều chỉnh trong nội dung giấy phép vận chuyển.</w:t>
            </w:r>
          </w:p>
        </w:tc>
        <w:tc>
          <w:tcPr>
            <w:tcW w:w="0" w:type="auto"/>
          </w:tcPr>
          <w:p w:rsidR="004B4F6D" w:rsidRDefault="004B4F6D"/>
        </w:tc>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B4F6D">
        <w:tblPrEx>
          <w:tblCellMar>
            <w:top w:w="0" w:type="dxa"/>
            <w:bottom w:w="0" w:type="dxa"/>
          </w:tblCellMar>
        </w:tblPrEx>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 Lưu ý: Trường hợp trực tiếp nộp hồ sơ thì văn bản đề nghị bổ sung họ tên, số định danh cá nhân hoặc số hộ chiếu của người đến liên hệ</w:t>
            </w:r>
          </w:p>
        </w:tc>
        <w:tc>
          <w:tcPr>
            <w:tcW w:w="0" w:type="auto"/>
          </w:tcPr>
          <w:p w:rsidR="004B4F6D" w:rsidRDefault="004B4F6D"/>
        </w:tc>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4B4F6D" w:rsidRDefault="0012301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4B4F6D" w:rsidRDefault="0012301F">
      <w:pPr>
        <w:spacing w:after="0" w:line="276" w:lineRule="auto"/>
        <w:jc w:val="both"/>
      </w:pPr>
      <w:r>
        <w:rPr>
          <w:rFonts w:ascii="Times New Roman" w:eastAsia="Times New Roman" w:hAnsi="Times New Roman" w:cs="Times New Roman"/>
          <w:b/>
          <w:sz w:val="26"/>
        </w:rPr>
        <w:lastRenderedPageBreak/>
        <w:t xml:space="preserve">Cơ quan thực hiện: </w:t>
      </w:r>
      <w:r>
        <w:rPr>
          <w:rFonts w:ascii="Times New Roman" w:eastAsia="Times New Roman" w:hAnsi="Times New Roman" w:cs="Times New Roman"/>
          <w:sz w:val="26"/>
        </w:rPr>
        <w:t>Cục cảnh sát quản lý hành chính về trật tự, xã hội, Công an tỉnh</w:t>
      </w:r>
    </w:p>
    <w:p w:rsidR="004B4F6D" w:rsidRDefault="0012301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 Công an tỉnh</w:t>
      </w:r>
    </w:p>
    <w:p w:rsidR="004B4F6D" w:rsidRDefault="0012301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 hoặc Phòng Cảnh sát quản lý hành chính về trật tự xã hội, Công an cấp tỉnh.</w:t>
      </w:r>
    </w:p>
    <w:p w:rsidR="004B4F6D" w:rsidRDefault="0012301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4B4F6D" w:rsidRDefault="0012301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4B4F6D" w:rsidRDefault="0012301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vận chuyển vật liệu nổ công nghiệp</w:t>
      </w:r>
    </w:p>
    <w:p w:rsidR="004B4F6D" w:rsidRDefault="0012301F">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1"/>
        <w:gridCol w:w="5753"/>
        <w:gridCol w:w="792"/>
        <w:gridCol w:w="1209"/>
      </w:tblGrid>
      <w:tr w:rsidR="004B4F6D">
        <w:tblPrEx>
          <w:tblCellMar>
            <w:top w:w="0" w:type="dxa"/>
            <w:bottom w:w="0" w:type="dxa"/>
          </w:tblCellMar>
        </w:tblPrEx>
        <w:tc>
          <w:tcPr>
            <w:tcW w:w="2000" w:type="dxa"/>
          </w:tcPr>
          <w:p w:rsidR="004B4F6D" w:rsidRDefault="004B4F6D"/>
          <w:p w:rsidR="004B4F6D" w:rsidRDefault="0012301F">
            <w:pPr>
              <w:spacing w:after="0" w:line="276" w:lineRule="auto"/>
              <w:jc w:val="center"/>
            </w:pPr>
            <w:r>
              <w:rPr>
                <w:rFonts w:ascii="Times New Roman" w:eastAsia="Times New Roman" w:hAnsi="Times New Roman" w:cs="Times New Roman"/>
                <w:b/>
                <w:sz w:val="26"/>
              </w:rPr>
              <w:t>Số ký hiệu</w:t>
            </w:r>
          </w:p>
        </w:tc>
        <w:tc>
          <w:tcPr>
            <w:tcW w:w="3500" w:type="dxa"/>
          </w:tcPr>
          <w:p w:rsidR="004B4F6D" w:rsidRDefault="004B4F6D"/>
          <w:p w:rsidR="004B4F6D" w:rsidRDefault="0012301F">
            <w:pPr>
              <w:spacing w:after="0" w:line="276" w:lineRule="auto"/>
              <w:jc w:val="center"/>
            </w:pPr>
            <w:r>
              <w:rPr>
                <w:rFonts w:ascii="Times New Roman" w:eastAsia="Times New Roman" w:hAnsi="Times New Roman" w:cs="Times New Roman"/>
                <w:b/>
                <w:sz w:val="26"/>
              </w:rPr>
              <w:t>Trích yếu</w:t>
            </w:r>
          </w:p>
        </w:tc>
        <w:tc>
          <w:tcPr>
            <w:tcW w:w="1500" w:type="dxa"/>
          </w:tcPr>
          <w:p w:rsidR="004B4F6D" w:rsidRDefault="004B4F6D"/>
          <w:p w:rsidR="004B4F6D" w:rsidRDefault="0012301F">
            <w:pPr>
              <w:spacing w:after="0" w:line="276" w:lineRule="auto"/>
              <w:jc w:val="center"/>
            </w:pPr>
            <w:r>
              <w:rPr>
                <w:rFonts w:ascii="Times New Roman" w:eastAsia="Times New Roman" w:hAnsi="Times New Roman" w:cs="Times New Roman"/>
                <w:b/>
                <w:sz w:val="26"/>
              </w:rPr>
              <w:t>Ngày ban hành</w:t>
            </w:r>
          </w:p>
        </w:tc>
        <w:tc>
          <w:tcPr>
            <w:tcW w:w="3000" w:type="dxa"/>
          </w:tcPr>
          <w:p w:rsidR="004B4F6D" w:rsidRDefault="004B4F6D"/>
          <w:p w:rsidR="004B4F6D" w:rsidRDefault="0012301F">
            <w:pPr>
              <w:spacing w:after="0" w:line="276" w:lineRule="auto"/>
              <w:jc w:val="center"/>
            </w:pPr>
            <w:r>
              <w:rPr>
                <w:rFonts w:ascii="Times New Roman" w:eastAsia="Times New Roman" w:hAnsi="Times New Roman" w:cs="Times New Roman"/>
                <w:b/>
                <w:sz w:val="26"/>
              </w:rPr>
              <w:t>Cơ quan ban hành</w:t>
            </w:r>
          </w:p>
        </w:tc>
      </w:tr>
      <w:tr w:rsidR="004B4F6D">
        <w:tblPrEx>
          <w:tblCellMar>
            <w:top w:w="0" w:type="dxa"/>
            <w:bottom w:w="0" w:type="dxa"/>
          </w:tblCellMar>
        </w:tblPrEx>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23/2019/TT-BTC</w:t>
            </w:r>
          </w:p>
        </w:tc>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Thông tư 23/2019/TT-BTC</w:t>
            </w:r>
          </w:p>
        </w:tc>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19-04-2019</w:t>
            </w:r>
          </w:p>
        </w:tc>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Bộ Tài chính</w:t>
            </w:r>
          </w:p>
        </w:tc>
      </w:tr>
      <w:tr w:rsidR="004B4F6D">
        <w:tblPrEx>
          <w:tblCellMar>
            <w:top w:w="0" w:type="dxa"/>
            <w:bottom w:w="0" w:type="dxa"/>
          </w:tblCellMar>
        </w:tblPrEx>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42/2024/QH15</w:t>
            </w:r>
          </w:p>
        </w:tc>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29-06-2024</w:t>
            </w:r>
          </w:p>
        </w:tc>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Quốc Hội</w:t>
            </w:r>
          </w:p>
        </w:tc>
      </w:tr>
      <w:tr w:rsidR="004B4F6D">
        <w:tblPrEx>
          <w:tblCellMar>
            <w:top w:w="0" w:type="dxa"/>
            <w:bottom w:w="0" w:type="dxa"/>
          </w:tblCellMar>
        </w:tblPrEx>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75/2024/TT-BCA</w:t>
            </w:r>
          </w:p>
        </w:tc>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15-11-2024</w:t>
            </w:r>
          </w:p>
        </w:tc>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Bộ trưởng Bộ Công an</w:t>
            </w:r>
          </w:p>
        </w:tc>
      </w:tr>
      <w:tr w:rsidR="004B4F6D">
        <w:tblPrEx>
          <w:tblCellMar>
            <w:top w:w="0" w:type="dxa"/>
            <w:bottom w:w="0" w:type="dxa"/>
          </w:tblCellMar>
        </w:tblPrEx>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77/2024/TT-BCA</w:t>
            </w:r>
          </w:p>
        </w:tc>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15-11-2024</w:t>
            </w:r>
          </w:p>
        </w:tc>
        <w:tc>
          <w:tcPr>
            <w:tcW w:w="0" w:type="auto"/>
          </w:tcPr>
          <w:p w:rsidR="004B4F6D" w:rsidRDefault="004B4F6D"/>
          <w:p w:rsidR="004B4F6D" w:rsidRDefault="0012301F">
            <w:pPr>
              <w:spacing w:after="0" w:line="276" w:lineRule="auto"/>
            </w:pPr>
            <w:r>
              <w:rPr>
                <w:rFonts w:ascii="Times New Roman" w:eastAsia="Times New Roman" w:hAnsi="Times New Roman" w:cs="Times New Roman"/>
                <w:sz w:val="26"/>
              </w:rPr>
              <w:t>Bộ trưởng Bộ Công an</w:t>
            </w:r>
          </w:p>
        </w:tc>
      </w:tr>
    </w:tbl>
    <w:p w:rsidR="004B4F6D" w:rsidRDefault="0012301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 Chỉ cấp điều chỉnh giấy phép vận chuyển vật liệu nổ công nghiệp trong trường hợp có thay đổi thông tin trong giấy phép. Việc vận chuyển vật liệu nổ công nghiệp đảm bảo các điều kiện quy định tại khoản 1 và khoản 2 Điều 41 Luật Quản lý, sử dụng vũ khí, vật liệu nổ và công cụ hỗ trợ (Luật số 42/2024/QH15 ngày 29/6/2024); cụ thể: “1. Tổ chức, doanh nghiệp vận chuyển vật liệu nổ công nghiệp phải bảo đảm đủ điều kiện sau đây: a) Là tổ chức, doanh nghiệp được phép sản xuất, kinh doanh, sử dụng vật liệu nổ công </w:t>
      </w:r>
      <w:r>
        <w:rPr>
          <w:rFonts w:ascii="Times New Roman" w:eastAsia="Times New Roman" w:hAnsi="Times New Roman" w:cs="Times New Roman"/>
          <w:sz w:val="26"/>
        </w:rPr>
        <w:t>nghiệp hoặc doanh nghiệp có đăng ký ngành, nghề vận chuyển hàng hóa; b) Phương tiện vận chuyển vật liệu nổ công nghiệp đủ điều kiện theo tiêu chuẩn, quy chuẩn kỹ thuật về an toàn trong hoạt động vật liệu nổ công nghiệp; bảo đảm điều kiện về an toàn, phòng cháy và chữa cháy; c) Người quản lý, người điều khiển phương tiện, người áp tải và người phục vụ có liên quan trực tiếp đến vận chuyển vật liệu nổ công nghiệp có trình độ chuyên môn phù hợp và được huấn luyện nghiệp vụ về phòng cháy và chữa cháy;  d) Có gi</w:t>
      </w:r>
      <w:r>
        <w:rPr>
          <w:rFonts w:ascii="Times New Roman" w:eastAsia="Times New Roman" w:hAnsi="Times New Roman" w:cs="Times New Roman"/>
          <w:sz w:val="26"/>
        </w:rPr>
        <w:t>ấy phép vận chuyển vật liệu nổ công nghiệp; biểu trưng báo hiệu phương tiện đang vận chuyển vật liệu nổ công nghiệp.  2. Việc vận chuyển vật liệu nổ công nghiệp thực hiện theo quy định sau đây:  a) Thực hiện đúng nội dung ghi trong giấy phép vận chuyển vật liệu nổ công nghiệp; b) Kiểm tra tình trạng hàng hóa trước khi xuất phát hoặc sau mỗi lần phương tiện dừng, đỗ và khắc phục ngay sự cố xảy ra;  c) Có phương án vận chuyển bảo đảm an toàn, phòng cháy và chữa cháy; có biện pháp ứng phó sự cố khẩn cấp; d) Th</w:t>
      </w:r>
      <w:r>
        <w:rPr>
          <w:rFonts w:ascii="Times New Roman" w:eastAsia="Times New Roman" w:hAnsi="Times New Roman" w:cs="Times New Roman"/>
          <w:sz w:val="26"/>
        </w:rPr>
        <w:t>ực hiện đầy đủ thủ tục giao, nhận về hàng hóa, tài liệu liên quan đến vật liệu nổ công nghiệp; đ) Không được chở vật liệu nổ công nghiệp và người trên cùng một phương tiện, trừ người điều khiển phương tiện, người áp tải; e) Không dừng, đỗ phương tiện vận chuyển vật liệu nổ công nghiệp ở nơi đông người, khu vực dân cư, cửa hàng xăng dầu, nơi có công trình quan trọng về quốc phòng, an ninh, kinh tế, văn hóa, ngoại giao; không vận chuyển khi thời tiết bất thường. Trường hợp cần nghỉ qua đêm hoặc do sự cố mà kh</w:t>
      </w:r>
      <w:r>
        <w:rPr>
          <w:rFonts w:ascii="Times New Roman" w:eastAsia="Times New Roman" w:hAnsi="Times New Roman" w:cs="Times New Roman"/>
          <w:sz w:val="26"/>
        </w:rPr>
        <w:t>ông đủ lực lượng bảo vệ thì người điều khiển phương tiện, người áp tải phải thông báo ngay cho cơ quan quân sự hoặc cơ quan Công an nơi gần nhất để phối hợp bảo vệ khi cần thiết.”.</w:t>
      </w:r>
    </w:p>
    <w:p w:rsidR="004B4F6D" w:rsidRDefault="0012301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4B4F6D" w:rsidRDefault="0012301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https://thutuc.dichvucong.gov.vn/p/home/dvc-tthc-thu-tuc-hanh-chinh-chi-tiet.html?ma_thu_tuc=373792</w:t>
      </w:r>
    </w:p>
    <w:sectPr w:rsidR="004B4F6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B4F6D"/>
    <w:rsid w:val="0012301F"/>
    <w:rsid w:val="00283BB0"/>
    <w:rsid w:val="004B4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8E540D-1770-4A81-AE7A-61E745CD3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1072</Words>
  <Characters>6112</Characters>
  <Application>Microsoft Office Word</Application>
  <DocSecurity>0</DocSecurity>
  <Lines>50</Lines>
  <Paragraphs>14</Paragraphs>
  <ScaleCrop>false</ScaleCrop>
  <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2025-11-24T09:19:00Z</dcterms:created>
  <dcterms:modified xsi:type="dcterms:W3CDTF">2025-11-24T09:19:00Z</dcterms:modified>
</cp:coreProperties>
</file>